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9575-10q_airindus.htm"/>
      <w:bookmarkStart w:id="1" w:name="ksea028957510q_airindus"/>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 to_______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001-35927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AIR INDUSTRIES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Nevada</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80-0948413</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1460 Fifth Avenue, Bay Shore, New York 11706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(631) 968-5000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1595"/>
        <w:gridCol w:w="90"/>
        <w:gridCol w:w="1565"/>
        <w:gridCol w:w="90"/>
        <w:gridCol w:w="3755"/>
      </w:tblGrid>
      <w:tr>
        <w:trPr/>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AIRI</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NYSE-American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180"/>
        <w:gridCol w:w="2645"/>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8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4,850,658 shares of the registrant’s common stock outstanding as of May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8970" w:type="dxa"/>
        <w:jc w:val="left"/>
        <w:tblInd w:w="0" w:type="dxa"/>
        <w:tblLayout w:type="fixed"/>
        <w:tblCellMar>
          <w:top w:w="0" w:type="dxa"/>
          <w:left w:w="0" w:type="dxa"/>
          <w:bottom w:w="0" w:type="dxa"/>
          <w:right w:w="0" w:type="dxa"/>
        </w:tblCellMar>
      </w:tblPr>
      <w:tblGrid>
        <w:gridCol w:w="815"/>
        <w:gridCol w:w="7310"/>
        <w:gridCol w:w="845"/>
      </w:tblGrid>
      <w:tr>
        <w:trPr/>
        <w:tc>
          <w:tcPr>
            <w:tcW w:w="81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No.</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w:t>
            </w:r>
          </w:p>
        </w:tc>
        <w:tc>
          <w:tcPr>
            <w:tcW w:w="7310" w:type="dxa"/>
            <w:tcBorders/>
            <w:shd w:fill="CCEEFF" w:val="clear"/>
            <w:vAlign w:val="center"/>
          </w:tcPr>
          <w:p>
            <w:pPr>
              <w:pStyle w:val="TableContents"/>
              <w:bidi w:val="0"/>
              <w:spacing w:before="0" w:after="283"/>
              <w:jc w:val="left"/>
              <w:rPr/>
            </w:pPr>
            <w:hyperlink w:anchor="p_010">
              <w:r>
                <w:rPr>
                  <w:rStyle w:val="InternetLink"/>
                  <w:rFonts w:ascii="Times New Roman;Times;Serif" w:hAnsi="Times New Roman;Times;Serif"/>
                  <w:sz w:val="20"/>
                </w:rPr>
                <w:t>FINANCIAL INFORMATION</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310" w:type="dxa"/>
            <w:tcBorders/>
            <w:shd w:fill="CCEEFF" w:val="clear"/>
            <w:vAlign w:val="center"/>
          </w:tcPr>
          <w:p>
            <w:pPr>
              <w:pStyle w:val="TableContents"/>
              <w:bidi w:val="0"/>
              <w:spacing w:before="0" w:after="283"/>
              <w:jc w:val="left"/>
              <w:rPr/>
            </w:pPr>
            <w:hyperlink w:anchor="p_003">
              <w:r>
                <w:rPr>
                  <w:rStyle w:val="InternetLink"/>
                  <w:rFonts w:ascii="Times New Roman;Times;Serif" w:hAnsi="Times New Roman;Times;Serif"/>
                  <w:sz w:val="20"/>
                </w:rPr>
                <w:t>Financial Statements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310" w:type="dxa"/>
            <w:tcBorders/>
            <w:shd w:fill="CCEEFF" w:val="clear"/>
            <w:vAlign w:val="center"/>
          </w:tcPr>
          <w:p>
            <w:pPr>
              <w:pStyle w:val="TableContents"/>
              <w:bidi w:val="0"/>
              <w:spacing w:before="0" w:after="283"/>
              <w:jc w:val="left"/>
              <w:rPr/>
            </w:pPr>
            <w:hyperlink w:anchor="p_004">
              <w:r>
                <w:rPr>
                  <w:rStyle w:val="InternetLink"/>
                  <w:rFonts w:ascii="Times New Roman;Times;Serif" w:hAnsi="Times New Roman;Times;Serif"/>
                  <w:sz w:val="20"/>
                </w:rPr>
                <w:t>Management’s Discussion and Analysis of Financial Condition and Results of Operations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310" w:type="dxa"/>
            <w:tcBorders/>
            <w:shd w:fill="CCEEFF" w:val="clear"/>
            <w:vAlign w:val="center"/>
          </w:tcPr>
          <w:p>
            <w:pPr>
              <w:pStyle w:val="TableContents"/>
              <w:bidi w:val="0"/>
              <w:spacing w:before="0" w:after="283"/>
              <w:jc w:val="left"/>
              <w:rPr/>
            </w:pPr>
            <w:hyperlink w:anchor="p_005">
              <w:r>
                <w:rPr>
                  <w:rStyle w:val="InternetLink"/>
                  <w:rFonts w:ascii="Times New Roman;Times;Serif" w:hAnsi="Times New Roman;Times;Serif"/>
                  <w:sz w:val="20"/>
                </w:rPr>
                <w:t>Controls and Procedures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II. </w:t>
            </w:r>
          </w:p>
        </w:tc>
        <w:tc>
          <w:tcPr>
            <w:tcW w:w="7310" w:type="dxa"/>
            <w:tcBorders/>
            <w:shd w:fill="CCEEFF" w:val="clear"/>
            <w:vAlign w:val="center"/>
          </w:tcPr>
          <w:p>
            <w:pPr>
              <w:pStyle w:val="TableContents"/>
              <w:bidi w:val="0"/>
              <w:spacing w:before="0" w:after="283"/>
              <w:jc w:val="left"/>
              <w:rPr/>
            </w:pPr>
            <w:hyperlink w:anchor="p_006">
              <w:r>
                <w:rPr>
                  <w:rStyle w:val="InternetLink"/>
                  <w:rFonts w:ascii="Times New Roman;Times;Serif" w:hAnsi="Times New Roman;Times;Serif"/>
                  <w:sz w:val="20"/>
                </w:rPr>
                <w:t>OTHER INFORMATION</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310" w:type="dxa"/>
            <w:tcBorders/>
            <w:shd w:fill="CCEEFF" w:val="clear"/>
            <w:vAlign w:val="center"/>
          </w:tcPr>
          <w:p>
            <w:pPr>
              <w:pStyle w:val="TableContents"/>
              <w:bidi w:val="0"/>
              <w:spacing w:before="0" w:after="283"/>
              <w:jc w:val="left"/>
              <w:rPr/>
            </w:pPr>
            <w:hyperlink w:anchor="p_007">
              <w:r>
                <w:rPr>
                  <w:rStyle w:val="InternetLink"/>
                  <w:rFonts w:ascii="Times New Roman;Times;Serif" w:hAnsi="Times New Roman;Times;Serif"/>
                  <w:sz w:val="20"/>
                </w:rPr>
                <w:t>Risk Factors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310" w:type="dxa"/>
            <w:tcBorders/>
            <w:shd w:fill="CCEEFF" w:val="clear"/>
            <w:vAlign w:val="center"/>
          </w:tcPr>
          <w:p>
            <w:pPr>
              <w:pStyle w:val="TableContents"/>
              <w:bidi w:val="0"/>
              <w:spacing w:before="0" w:after="283"/>
              <w:jc w:val="left"/>
              <w:rPr/>
            </w:pPr>
            <w:hyperlink w:anchor="p_008">
              <w:r>
                <w:rPr>
                  <w:rStyle w:val="InternetLink"/>
                  <w:rFonts w:ascii="Times New Roman;Times;Serif" w:hAnsi="Times New Roman;Times;Serif"/>
                  <w:sz w:val="20"/>
                </w:rPr>
                <w:t>Exhibits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125"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r>
      <w:tr>
        <w:trPr/>
        <w:tc>
          <w:tcPr>
            <w:tcW w:w="8125" w:type="dxa"/>
            <w:gridSpan w:val="2"/>
            <w:tcBorders/>
            <w:shd w:fill="CCEEFF" w:val="clear"/>
            <w:vAlign w:val="center"/>
          </w:tcPr>
          <w:p>
            <w:pPr>
              <w:pStyle w:val="TableContents"/>
              <w:bidi w:val="0"/>
              <w:spacing w:before="0" w:after="283"/>
              <w:jc w:val="left"/>
              <w:rPr/>
            </w:pPr>
            <w:hyperlink w:anchor="p_009">
              <w:r>
                <w:rPr>
                  <w:rStyle w:val="InternetLink"/>
                  <w:rFonts w:ascii="Times New Roman;Times;Serif" w:hAnsi="Times New Roman;Times;Serif"/>
                  <w:sz w:val="20"/>
                </w:rPr>
                <w:t>SIGNATURES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filed by Air Industries Group (herein referred to as “Air Industries”, the “company”, “we”, “us”, or “our”) contains “forward-looking statements” within the meaning of Section 27A of the Securities Act of 1933, as amended, or Securities Act, and Section 21E of the Securities Exchange Act of 1934, or Exchange Act. Certain of the matters discussed herein concerning, among other items, our operations, cash flows, financial position and economic performance including, in particular, future sales, product demand, competition, trends in the marketplace, earnings and Adjusted EBITDA, the ability to realize firm backlog and projected backlog, cost cutting measures, potential future results, acquisitions and the effect of economic conditions, include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predictive in nature and can be identified by the fact that they do not relate strictly to historical or current facts and generally include words such as “expects,” “anticipates,” “intends,” “plans,” “believes,” “estimates” and similar expressions. Although we believe that these statements are based upon reasonable assumptions, including projections of orders, sales, operating margins, earnings, cash flow, research and development costs, working capital, capital expenditures, distribution channels, profitability, new products, adequacy of funds from operations, and general economic conditions, these statements and other projections contained herein expressing opinions about future outcomes and non-historical information, are subject to uncertainties and, therefore, there is no assurance that the outcomes expressed in these statements will be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Factors that could cause actual results to differ materially from those reflected in the forward-looking statements include, but are not limited to, those discussed under the heading “Risk Factors” in our Annual Report on Form 10-K for the year ended December 31, 2025, and elsewhere in this report and the risks discussed in our other filings with the Security and Exchange Commission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update or revise publicly and undertake no obligation to publicly update any forward-looking statement, whether as a result of new information, future events or otherwise, except as may be required under applicable securities laws. You are advised, however, to review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10"/>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68"/>
        <w:gridCol w:w="90"/>
        <w:gridCol w:w="747"/>
      </w:tblGrid>
      <w:tr>
        <w:trPr/>
        <w:tc>
          <w:tcPr>
            <w:tcW w:w="936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4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 No.</w:t>
            </w:r>
          </w:p>
        </w:tc>
      </w:tr>
      <w:tr>
        <w:trPr/>
        <w:tc>
          <w:tcPr>
            <w:tcW w:w="9368" w:type="dxa"/>
            <w:tcBorders/>
            <w:shd w:fill="CCEEFF" w:val="clear"/>
            <w:vAlign w:val="center"/>
          </w:tcPr>
          <w:p>
            <w:pPr>
              <w:pStyle w:val="TableContents"/>
              <w:bidi w:val="0"/>
              <w:spacing w:before="0" w:after="283"/>
              <w:jc w:val="left"/>
              <w:rPr/>
            </w:pPr>
            <w:hyperlink w:anchor="p_003">
              <w:r>
                <w:rPr>
                  <w:rStyle w:val="InternetLink"/>
                  <w:rFonts w:ascii="Times New Roman;Times;Serif" w:hAnsi="Times New Roman;Times;Serif"/>
                  <w:sz w:val="20"/>
                </w:rPr>
                <w:t>Item 1. Financial statements</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6">
              <w:r>
                <w:rPr>
                  <w:rStyle w:val="InternetLink"/>
                  <w:rFonts w:ascii="Times New Roman;Times;Serif" w:hAnsi="Times New Roman;Times;Serif"/>
                  <w:sz w:val="20"/>
                </w:rPr>
                <w:t>Condensed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pPr>
            <w:r>
              <w:rPr/>
              <w:t>2</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1">
              <w:r>
                <w:rPr>
                  <w:rStyle w:val="InternetLink"/>
                  <w:rFonts w:ascii="Times New Roman;Times;Serif" w:hAnsi="Times New Roman;Times;Serif"/>
                  <w:sz w:val="20"/>
                </w:rPr>
                <w:t>Condensed Consolidated Balance Sheets as of March 31, 2026 (unaudited) and December 31, 2025</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2">
              <w:r>
                <w:rPr>
                  <w:rStyle w:val="InternetLink"/>
                  <w:rFonts w:ascii="Times New Roman;Times;Serif" w:hAnsi="Times New Roman;Times;Serif"/>
                  <w:sz w:val="20"/>
                </w:rPr>
                <w:t>Condensed Consolidated Statements of Operations for the three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3">
              <w:r>
                <w:rPr>
                  <w:rStyle w:val="InternetLink"/>
                  <w:rFonts w:ascii="Times New Roman;Times;Serif" w:hAnsi="Times New Roman;Times;Serif"/>
                  <w:sz w:val="20"/>
                </w:rPr>
                <w:t>Condensed Consolidated Statements of Changes in Stockholders’ Equity for the three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4">
              <w:r>
                <w:rPr>
                  <w:rStyle w:val="InternetLink"/>
                  <w:rFonts w:ascii="Times New Roman;Times;Serif" w:hAnsi="Times New Roman;Times;Serif"/>
                  <w:sz w:val="20"/>
                </w:rPr>
                <w:t>Condensed Consolidated Statements of Cash Flows for the three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ind w:left="0" w:right="0" w:hanging="180"/>
              <w:jc w:val="center"/>
              <w:rPr/>
            </w:pPr>
            <w:r>
              <w:rPr/>
              <w:t> </w:t>
            </w:r>
          </w:p>
        </w:tc>
      </w:tr>
      <w:tr>
        <w:trPr/>
        <w:tc>
          <w:tcPr>
            <w:tcW w:w="9368" w:type="dxa"/>
            <w:tcBorders/>
            <w:shd w:fill="CCEEFF" w:val="clear"/>
            <w:vAlign w:val="center"/>
          </w:tcPr>
          <w:p>
            <w:pPr>
              <w:pStyle w:val="TableContents"/>
              <w:bidi w:val="0"/>
              <w:spacing w:before="0" w:after="283"/>
              <w:jc w:val="left"/>
              <w:rPr/>
            </w:pPr>
            <w:hyperlink w:anchor="p_015">
              <w:r>
                <w:rPr>
                  <w:rStyle w:val="InternetLink"/>
                  <w:rFonts w:ascii="Times New Roman;Times;Serif" w:hAnsi="Times New Roman;Times;Serif"/>
                  <w:sz w:val="20"/>
                </w:rPr>
                <w:t>Notes to Condensed Consolidated Financial Statements (unaudited)</w:t>
              </w:r>
            </w:hyperlink>
          </w:p>
        </w:tc>
        <w:tc>
          <w:tcPr>
            <w:tcW w:w="9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p_003"/>
      <w:bookmarkEnd w:id="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_016"/>
      <w:bookmarkEnd w:id="5"/>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_011"/>
      <w:bookmarkEnd w:id="6"/>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7"/>
        <w:gridCol w:w="90"/>
        <w:gridCol w:w="170"/>
        <w:gridCol w:w="1205"/>
        <w:gridCol w:w="125"/>
        <w:gridCol w:w="90"/>
        <w:gridCol w:w="172"/>
        <w:gridCol w:w="1224"/>
        <w:gridCol w:w="172"/>
      </w:tblGrid>
      <w:tr>
        <w:trPr/>
        <w:tc>
          <w:tcPr>
            <w:tcW w:w="69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b/>
              </w:rPr>
            </w:pPr>
            <w:r>
              <w:rPr>
                <w:b/>
              </w:rPr>
              <w:t>December 31,</w:t>
            </w:r>
          </w:p>
        </w:tc>
        <w:tc>
          <w:tcPr>
            <w:tcW w:w="172" w:type="dxa"/>
            <w:tcBorders/>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286,000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680,000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3,930,000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3,930,000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Accounts Receivable, Net of Allowance for Credit Losses of $629,000 and $464,000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7,485,000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7,071,000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35,282,000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34,261,000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766,000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Prepaid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77,000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tcMar>
              <w:bottom w:w="28" w:type="dxa"/>
            </w:tcMar>
            <w:vAlign w:val="center"/>
          </w:tcPr>
          <w:p>
            <w:pPr>
              <w:pStyle w:val="TableContents"/>
              <w:bidi w:val="0"/>
              <w:spacing w:before="0" w:after="283"/>
              <w:jc w:val="right"/>
              <w:rPr/>
            </w:pPr>
            <w:r>
              <w:rPr/>
              <w:t>76,000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48,200,000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46,784,000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9,215,000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9,501,000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Finance Lease Right-Of-Use-Assets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867,000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916,000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Operating Lease Right-Of-Use-Assets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514,000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Deferred Financing Costs, Net, Deposits and Other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588,000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tcMar>
              <w:bottom w:w="28" w:type="dxa"/>
            </w:tcMar>
            <w:vAlign w:val="center"/>
          </w:tcPr>
          <w:p>
            <w:pPr>
              <w:pStyle w:val="TableContents"/>
              <w:bidi w:val="0"/>
              <w:spacing w:before="0" w:after="283"/>
              <w:jc w:val="right"/>
              <w:rPr/>
            </w:pPr>
            <w:r>
              <w:rPr/>
              <w:t>614,000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59,216,000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tcMar>
              <w:bottom w:w="28" w:type="dxa"/>
            </w:tcMar>
            <w:vAlign w:val="center"/>
          </w:tcPr>
          <w:p>
            <w:pPr>
              <w:pStyle w:val="TableContents"/>
              <w:bidi w:val="0"/>
              <w:spacing w:before="0" w:after="283"/>
              <w:jc w:val="right"/>
              <w:rPr/>
            </w:pPr>
            <w:r>
              <w:rPr/>
              <w:t>58,329,000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25,102,000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23,721,000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7,178,000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7,903,000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Subordinated Notes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4,871,000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4,871,000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702,000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Deferred Gain on Sale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28,000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Customer Deposits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968,000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391,000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38,611,000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37,616,000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Long 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0"/>
              <w:jc w:val="righ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Debt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1,460,000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1,512,000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40,071,000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tcMar>
              <w:bottom w:w="28" w:type="dxa"/>
            </w:tcMar>
            <w:vAlign w:val="center"/>
          </w:tcPr>
          <w:p>
            <w:pPr>
              <w:pStyle w:val="TableContents"/>
              <w:bidi w:val="0"/>
              <w:spacing w:before="0" w:after="283"/>
              <w:jc w:val="right"/>
              <w:rPr/>
            </w:pPr>
            <w:r>
              <w:rPr/>
              <w:t>39,128,000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Commitments and Contingencies (see Note 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0"/>
              <w:jc w:val="righ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6957" w:type="dxa"/>
            <w:tcBorders/>
            <w:shd w:fill="CCEEFF" w:val="clear"/>
            <w:vAlign w:val="center"/>
          </w:tcPr>
          <w:p>
            <w:pPr>
              <w:pStyle w:val="TableContents"/>
              <w:bidi w:val="0"/>
              <w:spacing w:before="0" w:after="283"/>
              <w:jc w:val="left"/>
              <w:rPr/>
            </w:pPr>
            <w:r>
              <w:rPr/>
              <w:t>Preferred Stock - par value $.001 - Authorized 3,000,000 shares, 0 shares outstanding, at both March 31, 2026 and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57" w:type="dxa"/>
            <w:tcBorders/>
            <w:vAlign w:val="center"/>
          </w:tcPr>
          <w:p>
            <w:pPr>
              <w:pStyle w:val="TableContents"/>
              <w:bidi w:val="0"/>
              <w:spacing w:before="0" w:after="283"/>
              <w:jc w:val="left"/>
              <w:rPr/>
            </w:pPr>
            <w:r>
              <w:rPr/>
              <w:t>Common Stock - Par Value $.001 - Authorized 6,000,000 shares, 4,781,054 and 4,776,454 shares issued and outstanding as of March 31,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5,000</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90,572,000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89,608,000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(71,432,000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tcMar>
              <w:bottom w:w="28" w:type="dxa"/>
            </w:tcMar>
            <w:vAlign w:val="center"/>
          </w:tcPr>
          <w:p>
            <w:pPr>
              <w:pStyle w:val="TableContents"/>
              <w:bidi w:val="0"/>
              <w:spacing w:before="0" w:after="283"/>
              <w:jc w:val="right"/>
              <w:rPr/>
            </w:pPr>
            <w:r>
              <w:rPr/>
              <w:t>(70,412,000</w:t>
            </w:r>
          </w:p>
        </w:tc>
        <w:tc>
          <w:tcPr>
            <w:tcW w:w="172" w:type="dxa"/>
            <w:tcBorders/>
            <w:vAlign w:val="center"/>
          </w:tcPr>
          <w:p>
            <w:pPr>
              <w:pStyle w:val="TableContents"/>
              <w:bidi w:val="0"/>
              <w:spacing w:before="0" w:after="283"/>
              <w:jc w:val="left"/>
              <w:rPr/>
            </w:pPr>
            <w:r>
              <w:rPr/>
              <w:t>)</w:t>
            </w:r>
          </w:p>
        </w:tc>
      </w:tr>
      <w:tr>
        <w:trPr/>
        <w:tc>
          <w:tcPr>
            <w:tcW w:w="6957"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19,145,000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19,201,000</w:t>
            </w:r>
          </w:p>
        </w:tc>
        <w:tc>
          <w:tcPr>
            <w:tcW w:w="172" w:type="dxa"/>
            <w:tcBorders/>
            <w:shd w:fill="CCEEFF" w:val="clear"/>
            <w:vAlign w:val="center"/>
          </w:tcPr>
          <w:p>
            <w:pPr>
              <w:pStyle w:val="TableContents"/>
              <w:bidi w:val="0"/>
              <w:spacing w:before="0" w:after="283"/>
              <w:jc w:val="left"/>
              <w:rPr/>
            </w:pPr>
            <w:r>
              <w:rPr/>
              <w:t> </w:t>
            </w:r>
          </w:p>
        </w:tc>
      </w:tr>
      <w:tr>
        <w:trPr/>
        <w:tc>
          <w:tcPr>
            <w:tcW w:w="69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57"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59,216,000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58,329,000</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_012"/>
      <w:bookmarkEnd w:id="7"/>
      <w:r>
        <w:rPr>
          <w:rFonts w:ascii="Times New Roman;Times;Serif" w:hAnsi="Times New Roman;Times;Serif"/>
          <w:b/>
          <w:i w:val="false"/>
          <w:caps w:val="false"/>
          <w:smallCaps w:val="false"/>
          <w:sz w:val="20"/>
        </w:rPr>
        <w:t xml:space="preserve">Condensed Consolidated Statements of Operations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5585"/>
        <w:gridCol w:w="90"/>
        <w:gridCol w:w="170"/>
        <w:gridCol w:w="1130"/>
        <w:gridCol w:w="125"/>
        <w:gridCol w:w="90"/>
        <w:gridCol w:w="170"/>
        <w:gridCol w:w="1130"/>
        <w:gridCol w:w="170"/>
      </w:tblGrid>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11,606,000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12,135,000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Cost of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9,004,000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10,101,000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2,602,000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2,034,000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3,167,000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2,780,000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(746,000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(407,000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(345,000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Interest Expense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202,000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(988,000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(988,000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per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(0.27</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Weighted Average Shares Outstanding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4,781,003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3,639,337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_013"/>
      <w:bookmarkEnd w:id="8"/>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5"/>
        <w:gridCol w:w="90"/>
        <w:gridCol w:w="90"/>
        <w:gridCol w:w="1010"/>
        <w:gridCol w:w="90"/>
        <w:gridCol w:w="90"/>
        <w:gridCol w:w="199"/>
        <w:gridCol w:w="691"/>
        <w:gridCol w:w="90"/>
        <w:gridCol w:w="90"/>
        <w:gridCol w:w="170"/>
        <w:gridCol w:w="1130"/>
        <w:gridCol w:w="90"/>
        <w:gridCol w:w="90"/>
        <w:gridCol w:w="173"/>
        <w:gridCol w:w="1227"/>
        <w:gridCol w:w="125"/>
        <w:gridCol w:w="90"/>
        <w:gridCol w:w="186"/>
        <w:gridCol w:w="1247"/>
        <w:gridCol w:w="172"/>
      </w:tblGrid>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center"/>
              <w:rPr>
                <w:b/>
              </w:rPr>
            </w:pPr>
            <w:r>
              <w:rPr>
                <w:b/>
              </w:rPr>
              <w:t>Total</w:t>
            </w:r>
          </w:p>
        </w:tc>
        <w:tc>
          <w:tcPr>
            <w:tcW w:w="172"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Stockholders’</w:t>
            </w:r>
          </w:p>
        </w:tc>
        <w:tc>
          <w:tcPr>
            <w:tcW w:w="172"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72"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Balance January 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4,776,454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89,608,000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(70,412,000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19,201,000</w:t>
            </w:r>
          </w:p>
        </w:tc>
        <w:tc>
          <w:tcPr>
            <w:tcW w:w="172"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Common Stock issued to 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4,600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14,000</w:t>
            </w:r>
          </w:p>
        </w:tc>
        <w:tc>
          <w:tcPr>
            <w:tcW w:w="172"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950,000</w:t>
            </w:r>
          </w:p>
        </w:tc>
        <w:tc>
          <w:tcPr>
            <w:tcW w:w="172"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(1,020,000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(1,020,000</w:t>
            </w:r>
          </w:p>
        </w:tc>
        <w:tc>
          <w:tcPr>
            <w:tcW w:w="172" w:type="dxa"/>
            <w:tcBorders/>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Balance,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4,781,054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90,572,000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(71,432,000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19,145,000</w:t>
            </w:r>
          </w:p>
        </w:tc>
        <w:tc>
          <w:tcPr>
            <w:tcW w:w="172"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Balance,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3,474,970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84,052,000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(69,107,000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14,948,000</w:t>
            </w:r>
          </w:p>
        </w:tc>
        <w:tc>
          <w:tcPr>
            <w:tcW w:w="172"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Common Stock issued to 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39,000</w:t>
            </w:r>
          </w:p>
        </w:tc>
        <w:tc>
          <w:tcPr>
            <w:tcW w:w="172"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435,000</w:t>
            </w:r>
          </w:p>
        </w:tc>
        <w:tc>
          <w:tcPr>
            <w:tcW w:w="172"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Common Stock issued for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209,940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854,000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855,000</w:t>
            </w:r>
          </w:p>
        </w:tc>
        <w:tc>
          <w:tcPr>
            <w:tcW w:w="172"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(988,000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(988,000</w:t>
            </w:r>
          </w:p>
        </w:tc>
        <w:tc>
          <w:tcPr>
            <w:tcW w:w="172" w:type="dxa"/>
            <w:tcBorders/>
            <w:shd w:fill="CCEEFF" w:val="clear"/>
            <w:vAlign w:val="center"/>
          </w:tcPr>
          <w:p>
            <w:pPr>
              <w:pStyle w:val="TableContents"/>
              <w:bidi w:val="0"/>
              <w:spacing w:before="0" w:after="283"/>
              <w:jc w:val="left"/>
              <w:rPr/>
            </w:pPr>
            <w:r>
              <w:rPr/>
              <w:t>)</w:t>
            </w:r>
          </w:p>
        </w:tc>
      </w:tr>
      <w:tr>
        <w:trPr/>
        <w:tc>
          <w:tcPr>
            <w:tcW w:w="3065" w:type="dxa"/>
            <w:tcBorders/>
            <w:vAlign w:val="center"/>
          </w:tcPr>
          <w:p>
            <w:pPr>
              <w:pStyle w:val="TableContents"/>
              <w:bidi w:val="0"/>
              <w:spacing w:before="0" w:after="283"/>
              <w:jc w:val="left"/>
              <w:rPr/>
            </w:pPr>
            <w:r>
              <w:rPr/>
              <w:t>Balance, March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3,694,095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4,000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85,380,000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(70,095,000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15,289,000</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_014"/>
      <w:bookmarkEnd w:id="9"/>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0"/>
        <w:gridCol w:w="90"/>
        <w:gridCol w:w="170"/>
        <w:gridCol w:w="1085"/>
        <w:gridCol w:w="125"/>
        <w:gridCol w:w="90"/>
        <w:gridCol w:w="170"/>
        <w:gridCol w:w="1085"/>
        <w:gridCol w:w="170"/>
      </w:tblGrid>
      <w:tr>
        <w:trPr/>
        <w:tc>
          <w:tcPr>
            <w:tcW w:w="7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(988,000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Adjustments to reconcile net loss to net cash (used in) provided by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Depreciation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580,000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964,000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474,000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Amortization of Finance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49,000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Amortization of 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168,000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182,000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Deferred gain on sale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Allowance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Amortization of deferred financing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(Increase) Decrease in Operating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(579,000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2,097,000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(124,000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(374,000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Contract costs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296,000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Prepaid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(2,000</w:t>
            </w:r>
          </w:p>
        </w:tc>
        <w:tc>
          <w:tcPr>
            <w:tcW w:w="170" w:type="dxa"/>
            <w:tcBorders/>
            <w:vAlign w:val="center"/>
          </w:tcPr>
          <w:p>
            <w:pPr>
              <w:pStyle w:val="TableContents"/>
              <w:bidi w:val="0"/>
              <w:spacing w:before="0" w:after="283"/>
              <w:jc w:val="left"/>
              <w:rPr/>
            </w:pPr>
            <w:r>
              <w:rPr/>
              <w:t>)</w:t>
            </w:r>
          </w:p>
        </w:tc>
      </w:tr>
      <w:tr>
        <w:trPr/>
        <w:tc>
          <w:tcPr>
            <w:tcW w:w="7220" w:type="dxa"/>
            <w:tcBorders/>
            <w:shd w:fill="CCEEFF" w:val="clear"/>
            <w:vAlign w:val="center"/>
          </w:tcPr>
          <w:p>
            <w:pPr>
              <w:pStyle w:val="TableContents"/>
              <w:bidi w:val="0"/>
              <w:spacing w:before="0" w:after="283"/>
              <w:jc w:val="left"/>
              <w:rPr/>
            </w:pPr>
            <w:r>
              <w:rPr/>
              <w:t>Deposits and 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252,000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Increase (Decrease) in Operating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(552,000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(229,000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(239,000</w:t>
            </w:r>
          </w:p>
        </w:tc>
        <w:tc>
          <w:tcPr>
            <w:tcW w:w="170" w:type="dxa"/>
            <w:tcBorders/>
            <w:vAlign w:val="center"/>
          </w:tcPr>
          <w:p>
            <w:pPr>
              <w:pStyle w:val="TableContents"/>
              <w:bidi w:val="0"/>
              <w:spacing w:before="0" w:after="283"/>
              <w:jc w:val="left"/>
              <w:rPr/>
            </w:pPr>
            <w:r>
              <w:rPr/>
              <w:t>)</w:t>
            </w:r>
          </w:p>
        </w:tc>
      </w:tr>
      <w:tr>
        <w:trPr/>
        <w:tc>
          <w:tcPr>
            <w:tcW w:w="7220" w:type="dxa"/>
            <w:tcBorders/>
            <w:shd w:fill="CCEEFF" w:val="clear"/>
            <w:vAlign w:val="center"/>
          </w:tcPr>
          <w:p>
            <w:pPr>
              <w:pStyle w:val="TableContents"/>
              <w:bidi w:val="0"/>
              <w:spacing w:before="0" w:after="283"/>
              <w:jc w:val="left"/>
              <w:rPr/>
            </w:pPr>
            <w:r>
              <w:rPr/>
              <w:t>Customer deposits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577,000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(532,000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NET CASH (USED IN) PROVIDED BY OPERATING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(1,298,000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1,525,000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(425,000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(1,217,000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(425,000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(1,217,000</w:t>
            </w:r>
          </w:p>
        </w:tc>
        <w:tc>
          <w:tcPr>
            <w:tcW w:w="170" w:type="dxa"/>
            <w:tcBorders/>
            <w:vAlign w:val="center"/>
          </w:tcPr>
          <w:p>
            <w:pPr>
              <w:pStyle w:val="TableContents"/>
              <w:bidi w:val="0"/>
              <w:spacing w:before="0" w:after="283"/>
              <w:jc w:val="left"/>
              <w:rPr/>
            </w:pPr>
            <w:r>
              <w:rPr/>
              <w:t>)</w:t>
            </w:r>
          </w:p>
        </w:tc>
      </w:tr>
      <w:tr>
        <w:trPr/>
        <w:tc>
          <w:tcPr>
            <w:tcW w:w="72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Note payable - revolver - net - Current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1,665,000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(1,701,000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Proceeds from term loan - Current Credit Facility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1,640,000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Proceeds from Common Stock issued for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855,000</w:t>
            </w:r>
          </w:p>
        </w:tc>
        <w:tc>
          <w:tcPr>
            <w:tcW w:w="170" w:type="dxa"/>
            <w:tcBorders/>
            <w:shd w:fill="CCEEFF" w:val="cle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Payments of Subordinated Notes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(1,291,000</w:t>
            </w:r>
          </w:p>
        </w:tc>
        <w:tc>
          <w:tcPr>
            <w:tcW w:w="170" w:type="dxa"/>
            <w:tcBorders/>
            <w:vAlign w:val="center"/>
          </w:tcPr>
          <w:p>
            <w:pPr>
              <w:pStyle w:val="TableContents"/>
              <w:bidi w:val="0"/>
              <w:spacing w:before="0" w:after="283"/>
              <w:jc w:val="left"/>
              <w:rPr/>
            </w:pPr>
            <w:r>
              <w:rPr/>
              <w:t>)</w:t>
            </w:r>
          </w:p>
        </w:tc>
      </w:tr>
      <w:tr>
        <w:trPr/>
        <w:tc>
          <w:tcPr>
            <w:tcW w:w="7220" w:type="dxa"/>
            <w:tcBorders/>
            <w:shd w:fill="CCEEFF" w:val="clear"/>
            <w:vAlign w:val="center"/>
          </w:tcPr>
          <w:p>
            <w:pPr>
              <w:pStyle w:val="TableContents"/>
              <w:bidi w:val="0"/>
              <w:spacing w:before="0" w:after="283"/>
              <w:jc w:val="left"/>
              <w:rPr/>
            </w:pPr>
            <w:r>
              <w:rPr/>
              <w:t>Payments of term loan - Current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(223,000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Payments of Solar Credit Facility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Payments of finance 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(54,000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Payments of loan payable - financed asset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(2,000</w:t>
            </w:r>
          </w:p>
        </w:tc>
        <w:tc>
          <w:tcPr>
            <w:tcW w:w="170" w:type="dxa"/>
            <w:tcBorders/>
            <w:vAlign w:val="center"/>
          </w:tcPr>
          <w:p>
            <w:pPr>
              <w:pStyle w:val="TableContents"/>
              <w:bidi w:val="0"/>
              <w:spacing w:before="0" w:after="283"/>
              <w:jc w:val="left"/>
              <w:rPr/>
            </w:pPr>
            <w:r>
              <w:rPr/>
              <w:t>)</w:t>
            </w:r>
          </w:p>
        </w:tc>
      </w:tr>
      <w:tr>
        <w:trPr/>
        <w:tc>
          <w:tcPr>
            <w:tcW w:w="7220"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1,329,000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(776,000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NET DECREASE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(394,000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(468,000</w:t>
            </w:r>
          </w:p>
        </w:tc>
        <w:tc>
          <w:tcPr>
            <w:tcW w:w="170" w:type="dxa"/>
            <w:tcBorders/>
            <w:shd w:fill="CCEEFF" w:val="clear"/>
            <w:vAlign w:val="center"/>
          </w:tcPr>
          <w:p>
            <w:pPr>
              <w:pStyle w:val="TableContents"/>
              <w:bidi w:val="0"/>
              <w:spacing w:before="0" w:after="283"/>
              <w:jc w:val="left"/>
              <w:rPr/>
            </w:pPr>
            <w:r>
              <w:rPr/>
              <w:t>)</w:t>
            </w:r>
          </w:p>
        </w:tc>
      </w:tr>
      <w:tr>
        <w:trPr/>
        <w:tc>
          <w:tcPr>
            <w:tcW w:w="7220" w:type="dxa"/>
            <w:tcBorders/>
            <w:vAlign w:val="center"/>
          </w:tcPr>
          <w:p>
            <w:pPr>
              <w:pStyle w:val="TableContents"/>
              <w:bidi w:val="0"/>
              <w:spacing w:before="0" w:after="283"/>
              <w:jc w:val="left"/>
              <w:rPr/>
            </w:pPr>
            <w:r>
              <w:rPr/>
              <w:t>CASH AT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4,610,000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753,000</w:t>
            </w:r>
          </w:p>
        </w:tc>
        <w:tc>
          <w:tcPr>
            <w:tcW w:w="170" w:type="dxa"/>
            <w:tcBorders/>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pPr>
            <w:r>
              <w:rPr/>
              <w:t>CASH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4,216,000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285,000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March 31,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740"/>
        <w:gridCol w:w="90"/>
        <w:gridCol w:w="170"/>
        <w:gridCol w:w="830"/>
        <w:gridCol w:w="90"/>
        <w:gridCol w:w="90"/>
        <w:gridCol w:w="170"/>
        <w:gridCol w:w="830"/>
        <w:gridCol w:w="135"/>
      </w:tblGrid>
      <w:tr>
        <w:trPr/>
        <w:tc>
          <w:tcPr>
            <w:tcW w:w="67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Supplemental cash flow information</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Cash paid during the period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508,000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432,000</w:t>
            </w:r>
          </w:p>
        </w:tc>
        <w:tc>
          <w:tcPr>
            <w:tcW w:w="135"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Cash paid during the period for taxes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2,000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17,000</w:t>
            </w:r>
          </w:p>
        </w:tc>
        <w:tc>
          <w:tcPr>
            <w:tcW w:w="13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_015"/>
      <w:bookmarkEnd w:id="10"/>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 is a Nevada corporation (“AIRI”).  The accompanying condensed consolidated financial statements presented are those of AIRI, and its wholly-owned subsidiaries: Air Industries Machining Corp. (“AIM”), Nassau Tool Works, Inc. (“NTW”), and the Sterling Engineering Corporation (“Sterling”) (together,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the year ending December 31, 2026. These unaudited condensed consolidated financial statements should be read in conjunction with the audited consolidated financial statements and notes thereto included in the Company’s Annual Report on Form 10-K for the year ended December 31, 2025, as filed with the Securities and Exchange Commission on March 27, 2026, from which the accompanying condensed consolidated balance sheet dated December 31, 2025 was derived.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and Management’s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was in default of its minimum Fixed Charge Coverage Ratio (“FCCR”), of 1.10x as of the last day of the Fiscal Quarter, having only attained a ratio of 0.93x. All other financial and business covenants required under the terms of the Current Credit Facility were met. The Company’s debt under our Current Credit Facility and Related Party Subordinated Notes approximates $29,747,000. The Current Credit Facility is scheduled to expire on September 30, 2026, and the Related Party Subordinated Notes mature on October 1, 2026. These obligations are classified as current liabilities on the consolidated balance sheets as of March 31, 2026. As a result of the default, the expiration dates of our Current Credit Facility and the rights that our Current Credit Facility lender could exercise, there is substantial doubt about the Company’s ability to continue as a going concern for the twelve months following the date of filing of these condensed consolidated financial statements. The terms of all outstanding indebtedness are discussed further in “Note 5.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maintain a collection account with its lender into which substantially all cash receipts are remitted. Additionally, as the Company is in default of its Current Credit Facility, the lender could choose to exercise its rights, for example, increasing the rate of interest or refusing to make loans under the revolving portion of the Current Credit Facility and keep the funds remitted to the collection account. If the lender were to raise the rate of interest or exercise other remedies available under the Current Credit Facility, it would adversely impact the Company’s operating results. If the lender were to cease making new loans under the revolving facility or limit availability under the revolving facility, the Company would lack the funds to continue operations or, possibly, expand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alternative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the entry into the Merger Agreement with Tenax (each as defined in “Note 11. Merger Information”), the Company has temporarily paused all equity raising activity. See “Note 11. Merger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total unfilled contract values amounting to $269.2 million (including its $134.7 million in funded backlog plus additional potential funded orders against Long-Term Agreements (“LTAs”). These unfilled contract values support a positive outlook for future growth; however extended lead times for raw material procurement and the complexity of manufacturing processes are expected to delay revenue acceleration until late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carried at the original invoice amount less an estimate made for expected credit losses based on a review of all outstanding amounts on a quarterly basis. Management determines the allowance for expected credit losses primarily using historical experience as well as current conditions that affect the collectability of the reported amount. Accounts receivable are written off when deemed uncollectible.  Bad debt expenses are recorded in operating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activity for the allowance for credit losses during the three months ended March 31, 2026 and 2025 is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7"/>
        <w:gridCol w:w="90"/>
        <w:gridCol w:w="215"/>
        <w:gridCol w:w="1046"/>
        <w:gridCol w:w="90"/>
        <w:gridCol w:w="90"/>
        <w:gridCol w:w="193"/>
        <w:gridCol w:w="948"/>
        <w:gridCol w:w="90"/>
        <w:gridCol w:w="90"/>
        <w:gridCol w:w="199"/>
        <w:gridCol w:w="991"/>
        <w:gridCol w:w="90"/>
        <w:gridCol w:w="90"/>
        <w:gridCol w:w="183"/>
        <w:gridCol w:w="895"/>
        <w:gridCol w:w="138"/>
      </w:tblGrid>
      <w:tr>
        <w:trPr/>
        <w:tc>
          <w:tcPr>
            <w:tcW w:w="47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b/>
              </w:rPr>
            </w:pPr>
            <w:r>
              <w:rPr>
                <w:b/>
              </w:rPr>
              <w:t>Balance at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Deductions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Balance at</w:t>
            </w:r>
          </w:p>
        </w:tc>
        <w:tc>
          <w:tcPr>
            <w:tcW w:w="138" w:type="dxa"/>
            <w:tcBorders/>
            <w:vAlign w:val="center"/>
          </w:tcPr>
          <w:p>
            <w:pPr>
              <w:pStyle w:val="TableContents"/>
              <w:bidi w:val="0"/>
              <w:spacing w:before="0" w:after="283"/>
              <w:jc w:val="left"/>
              <w:rPr/>
            </w:pPr>
            <w:r>
              <w:rPr/>
              <w:t> </w:t>
            </w:r>
          </w:p>
        </w:tc>
      </w:tr>
      <w:tr>
        <w:trPr/>
        <w:tc>
          <w:tcPr>
            <w:tcW w:w="47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b/>
              </w:rPr>
            </w:pPr>
            <w:r>
              <w:rPr>
                <w:b/>
              </w:rPr>
              <w:t>Beginning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center"/>
              <w:rPr>
                <w:b/>
              </w:rPr>
            </w:pPr>
            <w:r>
              <w:rPr>
                <w:b/>
              </w:rPr>
              <w:t>Charged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from the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End of</w:t>
            </w:r>
          </w:p>
        </w:tc>
        <w:tc>
          <w:tcPr>
            <w:tcW w:w="138" w:type="dxa"/>
            <w:tcBorders/>
            <w:vAlign w:val="center"/>
          </w:tcPr>
          <w:p>
            <w:pPr>
              <w:pStyle w:val="TableContents"/>
              <w:bidi w:val="0"/>
              <w:spacing w:before="0" w:after="283"/>
              <w:jc w:val="left"/>
              <w:rPr/>
            </w:pPr>
            <w:r>
              <w:rPr/>
              <w:t> </w:t>
            </w:r>
          </w:p>
        </w:tc>
      </w:tr>
      <w:tr>
        <w:trPr/>
        <w:tc>
          <w:tcPr>
            <w:tcW w:w="47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Allowance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w:t>
            </w:r>
          </w:p>
        </w:tc>
        <w:tc>
          <w:tcPr>
            <w:tcW w:w="138" w:type="dxa"/>
            <w:tcBorders/>
            <w:vAlign w:val="center"/>
          </w:tcPr>
          <w:p>
            <w:pPr>
              <w:pStyle w:val="TableContents"/>
              <w:bidi w:val="0"/>
              <w:spacing w:before="0" w:after="283"/>
              <w:jc w:val="left"/>
              <w:rPr/>
            </w:pPr>
            <w:r>
              <w:rPr/>
              <w:t> </w:t>
            </w:r>
          </w:p>
        </w:tc>
      </w:tr>
      <w:tr>
        <w:trPr/>
        <w:tc>
          <w:tcPr>
            <w:tcW w:w="4767" w:type="dxa"/>
            <w:tcBorders/>
            <w:shd w:fill="CCEEFF" w:val="clear"/>
            <w:vAlign w:val="center"/>
          </w:tcPr>
          <w:p>
            <w:pPr>
              <w:pStyle w:val="TableContents"/>
              <w:bidi w:val="0"/>
              <w:spacing w:before="0" w:after="283"/>
              <w:jc w:val="left"/>
              <w:rPr/>
            </w:pPr>
            <w:r>
              <w:rPr/>
              <w:t>Three Months ended March 31, 2026 Allowance for Credit Losses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46" w:type="dxa"/>
            <w:tcBorders/>
            <w:shd w:fill="CCEEFF" w:val="clear"/>
            <w:vAlign w:val="center"/>
          </w:tcPr>
          <w:p>
            <w:pPr>
              <w:pStyle w:val="TableContents"/>
              <w:bidi w:val="0"/>
              <w:spacing w:before="0" w:after="283"/>
              <w:jc w:val="right"/>
              <w:rPr/>
            </w:pPr>
            <w:r>
              <w:rPr/>
              <w:t>464,000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165,000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629,000</w:t>
            </w:r>
          </w:p>
        </w:tc>
        <w:tc>
          <w:tcPr>
            <w:tcW w:w="138" w:type="dxa"/>
            <w:tcBorders/>
            <w:shd w:fill="CCEEFF" w:val="clear"/>
            <w:vAlign w:val="center"/>
          </w:tcPr>
          <w:p>
            <w:pPr>
              <w:pStyle w:val="TableContents"/>
              <w:bidi w:val="0"/>
              <w:spacing w:before="0" w:after="283"/>
              <w:jc w:val="left"/>
              <w:rPr/>
            </w:pPr>
            <w:r>
              <w:rPr/>
              <w:t> </w:t>
            </w:r>
          </w:p>
        </w:tc>
      </w:tr>
      <w:tr>
        <w:trPr/>
        <w:tc>
          <w:tcPr>
            <w:tcW w:w="4767" w:type="dxa"/>
            <w:tcBorders/>
            <w:vAlign w:val="center"/>
          </w:tcPr>
          <w:p>
            <w:pPr>
              <w:pStyle w:val="TableContents"/>
              <w:bidi w:val="0"/>
              <w:spacing w:before="0" w:after="283"/>
              <w:jc w:val="left"/>
              <w:rPr/>
            </w:pPr>
            <w:r>
              <w:rPr/>
              <w:t>Three Months ended March 31, 2025 Allowance for Credit Losses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283"/>
              <w:jc w:val="right"/>
              <w:rPr/>
            </w:pPr>
            <w:r>
              <w:rPr/>
              <w:t>396,000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jc w:val="right"/>
              <w:rPr/>
            </w:pPr>
            <w:r>
              <w:rPr/>
              <w:t>416,000</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inventory at the lower of cost or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net realizable value are recorded in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 at:</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2120"/>
        <w:gridCol w:w="90"/>
        <w:gridCol w:w="170"/>
        <w:gridCol w:w="1130"/>
        <w:gridCol w:w="90"/>
        <w:gridCol w:w="90"/>
        <w:gridCol w:w="170"/>
        <w:gridCol w:w="1430"/>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6,372,000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7,306,000</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Work In Progress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18,663,000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17,072,000</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Semi-Finished Goods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9,428,000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9,206,000</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Final-Finished Goods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819,000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677,000</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Total Inventory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35,282,000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34,261,000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and Concentration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percentage of the Company’s revenues are derived directly from large aerospace and defense prime contractors for which the ultimate end-user is the U.S. Government, other governments, or commercial airlines.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net sales for the three months ended March 31, 2026 and 2025 are shown below:</w:t>
      </w:r>
    </w:p>
    <w:p>
      <w:pPr>
        <w:pStyle w:val="TextBody"/>
        <w:bidi w:val="0"/>
        <w:spacing w:before="0" w:after="0"/>
        <w:ind w:left="0" w:right="0" w:hanging="0"/>
        <w:jc w:val="both"/>
        <w:rPr>
          <w:caps w:val="false"/>
          <w:smallCaps w:val="false"/>
        </w:rPr>
      </w:pPr>
      <w:r>
        <w:rPr>
          <w:caps w:val="false"/>
          <w:smallCaps w:val="false"/>
        </w:rPr>
        <w:t> </w:t>
      </w:r>
    </w:p>
    <w:tbl>
      <w:tblPr>
        <w:tblW w:w="4496" w:type="dxa"/>
        <w:jc w:val="left"/>
        <w:tblInd w:w="0" w:type="dxa"/>
        <w:tblLayout w:type="fixed"/>
        <w:tblCellMar>
          <w:top w:w="0" w:type="dxa"/>
          <w:left w:w="0" w:type="dxa"/>
          <w:bottom w:w="28" w:type="dxa"/>
          <w:right w:w="0" w:type="dxa"/>
        </w:tblCellMar>
      </w:tblPr>
      <w:tblGrid>
        <w:gridCol w:w="1700"/>
        <w:gridCol w:w="90"/>
        <w:gridCol w:w="149"/>
        <w:gridCol w:w="781"/>
        <w:gridCol w:w="407"/>
        <w:gridCol w:w="149"/>
        <w:gridCol w:w="149"/>
        <w:gridCol w:w="781"/>
        <w:gridCol w:w="290"/>
      </w:tblGrid>
      <w:tr>
        <w:trPr/>
        <w:tc>
          <w:tcPr>
            <w:tcW w:w="1700" w:type="dxa"/>
            <w:tcBorders>
              <w:bottom w:val="single" w:sz="12" w:space="0" w:color="000000"/>
            </w:tcBorders>
            <w:vAlign w:val="center"/>
          </w:tcPr>
          <w:p>
            <w:pPr>
              <w:pStyle w:val="TableContents"/>
              <w:bidi w:val="0"/>
              <w:spacing w:before="0" w:after="283"/>
              <w:jc w:val="left"/>
              <w:rPr>
                <w:b/>
              </w:rPr>
            </w:pPr>
            <w:r>
              <w:rPr>
                <w:b/>
              </w:rPr>
              <w:t>Customer</w:t>
            </w:r>
          </w:p>
        </w:tc>
        <w:tc>
          <w:tcPr>
            <w:tcW w:w="90" w:type="dxa"/>
            <w:tcBorders/>
            <w:tcMar>
              <w:bottom w:w="0" w:type="dxa"/>
            </w:tcMar>
            <w:vAlign w:val="center"/>
          </w:tcPr>
          <w:p>
            <w:pPr>
              <w:pStyle w:val="TableContents"/>
              <w:bidi w:val="0"/>
              <w:spacing w:before="0" w:after="283"/>
              <w:jc w:val="left"/>
              <w:rPr/>
            </w:pPr>
            <w:r>
              <w:rPr/>
              <w:t> </w:t>
            </w:r>
          </w:p>
        </w:tc>
        <w:tc>
          <w:tcPr>
            <w:tcW w:w="2416" w:type="dxa"/>
            <w:gridSpan w:val="6"/>
            <w:tcBorders>
              <w:bottom w:val="single" w:sz="12" w:space="0" w:color="000000"/>
            </w:tcBorders>
            <w:vAlign w:val="center"/>
          </w:tcPr>
          <w:p>
            <w:pPr>
              <w:pStyle w:val="TableContents"/>
              <w:bidi w:val="0"/>
              <w:spacing w:before="0" w:after="283"/>
              <w:jc w:val="center"/>
              <w:rPr>
                <w:b/>
              </w:rPr>
            </w:pPr>
            <w:r>
              <w:rPr>
                <w:b/>
              </w:rPr>
              <w:t>Percentage of Net Sales</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0" w:type="dxa"/>
            <w:gridSpan w:val="2"/>
            <w:tcBorders>
              <w:bottom w:val="single" w:sz="12" w:space="0" w:color="000000"/>
            </w:tcBorders>
            <w:vAlign w:val="center"/>
          </w:tcPr>
          <w:p>
            <w:pPr>
              <w:pStyle w:val="TableContents"/>
              <w:bidi w:val="0"/>
              <w:spacing w:before="0" w:after="283"/>
              <w:jc w:val="center"/>
              <w:rPr>
                <w:b/>
              </w:rPr>
            </w:pPr>
            <w:r>
              <w:rPr>
                <w:b/>
              </w:rPr>
              <w:t>2026</w:t>
            </w:r>
          </w:p>
        </w:tc>
        <w:tc>
          <w:tcPr>
            <w:tcW w:w="407"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93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283"/>
              <w:jc w:val="left"/>
              <w:rPr/>
            </w:pPr>
            <w:r>
              <w:rPr/>
              <w:t>Lockheed Martin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34.4</w:t>
            </w:r>
          </w:p>
        </w:tc>
        <w:tc>
          <w:tcPr>
            <w:tcW w:w="407"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39.6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781" w:type="dxa"/>
            <w:tcBorders/>
            <w:tcMar>
              <w:bottom w:w="0" w:type="dxa"/>
            </w:tcMar>
            <w:vAlign w:val="center"/>
          </w:tcPr>
          <w:p>
            <w:pPr>
              <w:pStyle w:val="TableContents"/>
              <w:bidi w:val="0"/>
              <w:spacing w:before="0" w:after="283"/>
              <w:jc w:val="right"/>
              <w:rPr/>
            </w:pPr>
            <w:r>
              <w:rPr/>
              <w:t>28.4</w:t>
            </w:r>
          </w:p>
        </w:tc>
        <w:tc>
          <w:tcPr>
            <w:tcW w:w="407"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781" w:type="dxa"/>
            <w:tcBorders/>
            <w:tcMar>
              <w:bottom w:w="0" w:type="dxa"/>
            </w:tcMar>
            <w:vAlign w:val="center"/>
          </w:tcPr>
          <w:p>
            <w:pPr>
              <w:pStyle w:val="TableContents"/>
              <w:bidi w:val="0"/>
              <w:spacing w:before="0" w:after="283"/>
              <w:jc w:val="right"/>
              <w:rPr/>
            </w:pPr>
            <w:r>
              <w:rPr/>
              <w:t>28.8</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68"/>
        <w:gridCol w:w="26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osition w:val="8"/>
                <w:sz w:val="19"/>
              </w:rPr>
            </w:pPr>
            <w:r>
              <w:rPr>
                <w:position w:val="8"/>
                <w:sz w:val="19"/>
              </w:rPr>
              <w:t>(a)</w:t>
            </w:r>
          </w:p>
        </w:tc>
        <w:tc>
          <w:tcPr>
            <w:tcW w:w="644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 10% of accounts receivable at March 31, 2026 and December 31, 2025 are shown below: </w:t>
      </w:r>
    </w:p>
    <w:p>
      <w:pPr>
        <w:pStyle w:val="TextBody"/>
        <w:bidi w:val="0"/>
        <w:spacing w:before="0" w:after="0"/>
        <w:ind w:left="0" w:right="0" w:hanging="0"/>
        <w:jc w:val="both"/>
        <w:rPr>
          <w:caps w:val="false"/>
          <w:smallCaps w:val="false"/>
        </w:rPr>
      </w:pPr>
      <w:r>
        <w:rPr>
          <w:caps w:val="false"/>
          <w:smallCaps w:val="false"/>
        </w:rPr>
        <w:t> </w:t>
      </w:r>
    </w:p>
    <w:tbl>
      <w:tblPr>
        <w:tblW w:w="5426" w:type="dxa"/>
        <w:jc w:val="left"/>
        <w:tblInd w:w="0" w:type="dxa"/>
        <w:tblLayout w:type="fixed"/>
        <w:tblCellMar>
          <w:top w:w="0" w:type="dxa"/>
          <w:left w:w="0" w:type="dxa"/>
          <w:bottom w:w="28" w:type="dxa"/>
          <w:right w:w="0" w:type="dxa"/>
        </w:tblCellMar>
      </w:tblPr>
      <w:tblGrid>
        <w:gridCol w:w="1700"/>
        <w:gridCol w:w="90"/>
        <w:gridCol w:w="191"/>
        <w:gridCol w:w="999"/>
        <w:gridCol w:w="521"/>
        <w:gridCol w:w="191"/>
        <w:gridCol w:w="231"/>
        <w:gridCol w:w="1213"/>
        <w:gridCol w:w="290"/>
      </w:tblGrid>
      <w:tr>
        <w:trPr/>
        <w:tc>
          <w:tcPr>
            <w:tcW w:w="1700" w:type="dxa"/>
            <w:tcBorders>
              <w:bottom w:val="single" w:sz="12" w:space="0" w:color="000000"/>
            </w:tcBorders>
            <w:vAlign w:val="center"/>
          </w:tcPr>
          <w:p>
            <w:pPr>
              <w:pStyle w:val="TableContents"/>
              <w:bidi w:val="0"/>
              <w:spacing w:before="0" w:after="283"/>
              <w:jc w:val="left"/>
              <w:rPr>
                <w:b/>
              </w:rPr>
            </w:pPr>
            <w:r>
              <w:rPr>
                <w:b/>
              </w:rPr>
              <w:t>Customer</w:t>
            </w:r>
          </w:p>
        </w:tc>
        <w:tc>
          <w:tcPr>
            <w:tcW w:w="90" w:type="dxa"/>
            <w:tcBorders/>
            <w:tcMar>
              <w:bottom w:w="0" w:type="dxa"/>
            </w:tcMar>
            <w:vAlign w:val="center"/>
          </w:tcPr>
          <w:p>
            <w:pPr>
              <w:pStyle w:val="TableContents"/>
              <w:bidi w:val="0"/>
              <w:spacing w:before="0" w:after="283"/>
              <w:jc w:val="left"/>
              <w:rPr/>
            </w:pPr>
            <w:r>
              <w:rPr/>
              <w:t> </w:t>
            </w:r>
          </w:p>
        </w:tc>
        <w:tc>
          <w:tcPr>
            <w:tcW w:w="3346" w:type="dxa"/>
            <w:gridSpan w:val="6"/>
            <w:tcBorders>
              <w:bottom w:val="single" w:sz="12" w:space="0" w:color="000000"/>
            </w:tcBorders>
            <w:vAlign w:val="center"/>
          </w:tcPr>
          <w:p>
            <w:pPr>
              <w:pStyle w:val="TableContents"/>
              <w:bidi w:val="0"/>
              <w:spacing w:before="0" w:after="283"/>
              <w:jc w:val="center"/>
              <w:rPr>
                <w:b/>
              </w:rPr>
            </w:pPr>
            <w:r>
              <w:rPr>
                <w:b/>
              </w:rPr>
              <w:t>Percentage of Net Receivables</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center"/>
              <w:rPr>
                <w:b/>
              </w:rPr>
            </w:pPr>
            <w:r>
              <w:rPr>
                <w:b/>
              </w:rPr>
              <w:t>March 31,</w:t>
            </w:r>
          </w:p>
        </w:tc>
        <w:tc>
          <w:tcPr>
            <w:tcW w:w="521"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center"/>
              <w:rPr>
                <w:b/>
              </w:rPr>
            </w:pPr>
            <w:r>
              <w:rPr>
                <w:b/>
              </w:rPr>
              <w:t>December 31,</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2026</w:t>
            </w:r>
          </w:p>
        </w:tc>
        <w:tc>
          <w:tcPr>
            <w:tcW w:w="521"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2025</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43.5</w:t>
            </w:r>
          </w:p>
        </w:tc>
        <w:tc>
          <w:tcPr>
            <w:tcW w:w="52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r>
              <w:rPr/>
              <w:t>39.8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tcMar>
              <w:bottom w:w="0" w:type="dxa"/>
            </w:tcMar>
            <w:vAlign w:val="center"/>
          </w:tcPr>
          <w:p>
            <w:pPr>
              <w:pStyle w:val="TableContents"/>
              <w:bidi w:val="0"/>
              <w:spacing w:before="0" w:after="283"/>
              <w:jc w:val="left"/>
              <w:rPr/>
            </w:pPr>
            <w:r>
              <w:rPr/>
              <w:t>Lockheed Martin</w:t>
            </w:r>
          </w:p>
        </w:tc>
        <w:tc>
          <w:tcPr>
            <w:tcW w:w="9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999" w:type="dxa"/>
            <w:tcBorders/>
            <w:tcMar>
              <w:bottom w:w="0" w:type="dxa"/>
            </w:tcMar>
            <w:vAlign w:val="center"/>
          </w:tcPr>
          <w:p>
            <w:pPr>
              <w:pStyle w:val="TableContents"/>
              <w:bidi w:val="0"/>
              <w:spacing w:before="0" w:after="283"/>
              <w:jc w:val="right"/>
              <w:rPr/>
            </w:pPr>
            <w:r>
              <w:rPr/>
              <w:t>16.4</w:t>
            </w:r>
          </w:p>
        </w:tc>
        <w:tc>
          <w:tcPr>
            <w:tcW w:w="52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1213" w:type="dxa"/>
            <w:tcBorders/>
            <w:tcMar>
              <w:bottom w:w="0" w:type="dxa"/>
            </w:tcMar>
            <w:vAlign w:val="center"/>
          </w:tcPr>
          <w:p>
            <w:pPr>
              <w:pStyle w:val="TableContents"/>
              <w:bidi w:val="0"/>
              <w:spacing w:before="0" w:after="283"/>
              <w:jc w:val="right"/>
              <w:rPr/>
            </w:pPr>
            <w:r>
              <w:rPr/>
              <w:t>11.9</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6768" w:type="dxa"/>
        <w:jc w:val="left"/>
        <w:tblInd w:w="0" w:type="dxa"/>
        <w:tblLayout w:type="fixed"/>
        <w:tblCellMar>
          <w:top w:w="0" w:type="dxa"/>
          <w:left w:w="0" w:type="dxa"/>
          <w:bottom w:w="0" w:type="dxa"/>
          <w:right w:w="0" w:type="dxa"/>
        </w:tblCellMar>
      </w:tblPr>
      <w:tblGrid>
        <w:gridCol w:w="68"/>
        <w:gridCol w:w="26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osition w:val="8"/>
                <w:sz w:val="19"/>
              </w:rPr>
            </w:pPr>
            <w:r>
              <w:rPr>
                <w:position w:val="8"/>
                <w:sz w:val="19"/>
              </w:rPr>
              <w:t>(a)</w:t>
            </w:r>
          </w:p>
        </w:tc>
        <w:tc>
          <w:tcPr>
            <w:tcW w:w="644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from contracts with customers for the three month periods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28" w:type="dxa"/>
          <w:right w:w="0" w:type="dxa"/>
        </w:tblCellMar>
      </w:tblPr>
      <w:tblGrid>
        <w:gridCol w:w="1220"/>
        <w:gridCol w:w="90"/>
        <w:gridCol w:w="170"/>
        <w:gridCol w:w="1130"/>
        <w:gridCol w:w="90"/>
        <w:gridCol w:w="90"/>
        <w:gridCol w:w="170"/>
        <w:gridCol w:w="1130"/>
        <w:gridCol w:w="135"/>
      </w:tblGrid>
      <w:tr>
        <w:trPr/>
        <w:tc>
          <w:tcPr>
            <w:tcW w:w="1220" w:type="dxa"/>
            <w:tcBorders>
              <w:bottom w:val="single" w:sz="12" w:space="0" w:color="000000"/>
            </w:tcBorders>
            <w:vAlign w:val="center"/>
          </w:tcPr>
          <w:p>
            <w:pPr>
              <w:pStyle w:val="TableContents"/>
              <w:bidi w:val="0"/>
              <w:spacing w:before="0" w:after="283"/>
              <w:jc w:val="left"/>
              <w:rPr>
                <w:b/>
              </w:rPr>
            </w:pPr>
            <w:r>
              <w:rPr>
                <w:b/>
              </w:rPr>
              <w:t>Product</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Military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7,646,000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8,340,000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Commercial</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right"/>
              <w:rPr/>
            </w:pPr>
            <w:r>
              <w:rPr/>
              <w:t>3,960,000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right"/>
              <w:rPr/>
            </w:pPr>
            <w:r>
              <w:rPr/>
              <w:t>3,795,000</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11,606,000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12,135,000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March 31, 2026, the Company had occasionally maintained balances in its bank accounts that were in excess of the FDIC limit. The Company has not experienced any losses on these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reported restricted cash of $3,930,000 on its condensed consolidated balance sheets. Restricted cash represents proceeds from the Company’s ATM offering that are pledged as security for its obligations under the Current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cash and restricted cash reported in the condensed consolidated balance sheets to the total amount shown in the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1550"/>
        <w:gridCol w:w="90"/>
        <w:gridCol w:w="170"/>
        <w:gridCol w:w="1010"/>
        <w:gridCol w:w="90"/>
        <w:gridCol w:w="90"/>
        <w:gridCol w:w="208"/>
        <w:gridCol w:w="1236"/>
        <w:gridCol w:w="135"/>
      </w:tblGrid>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286,000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680,000</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3,930,000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pPr>
            <w:r>
              <w:rPr/>
              <w:t>3,930,000</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4,216,000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tcMar>
              <w:bottom w:w="28" w:type="dxa"/>
            </w:tcMar>
            <w:vAlign w:val="center"/>
          </w:tcPr>
          <w:p>
            <w:pPr>
              <w:pStyle w:val="TableContents"/>
              <w:bidi w:val="0"/>
              <w:spacing w:before="0" w:after="283"/>
              <w:jc w:val="right"/>
              <w:rPr/>
            </w:pPr>
            <w:r>
              <w:rPr/>
              <w:t>4,610,000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or unwilling to provide parts for any reason, the Company’s business would be severely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customer deposits were $968,000 and $391,000, respectively. The Company recognized revenue of $100,000 during the three months ended March 31, 2026 that was included in customer deposits balance as of December 31, 2025. The Company recognized revenue of $531,000 during the three months ended March 31, 2025, that was included in the customer deposits balance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represents the value of orders received pursuant to our Long-Term Agreements (“LTA”) or spot orders pursuant to a purchase order. As of March 31, 2026, backlog relating to remaining performance obligations on contracts was approximately $134.7 million. The Company estimates that a substantial portion of this backlog will be recognized as net sales during the next twenty-four months, with the rest thereafter. This expectation assumes that raw material supplies and outsourced processing is completed and delivered on time and that the Company’s customers will accept delivery as scheduled. The Company anticipates that sales during the aforementioned periods will also include sales from expected new orders that are not included in our 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(“EPS”) is computed by dividing the net income (loss) applicable to common stockholders by the weighted-average number of shares of common stock outstanding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have been excluded from the calculation because the effect of including these potential shares was anti-dilutive due to the net loss incurred during that period:</w:t>
      </w:r>
    </w:p>
    <w:p>
      <w:pPr>
        <w:pStyle w:val="TextBody"/>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2525"/>
        <w:gridCol w:w="90"/>
        <w:gridCol w:w="106"/>
        <w:gridCol w:w="993"/>
        <w:gridCol w:w="91"/>
        <w:gridCol w:w="91"/>
        <w:gridCol w:w="91"/>
        <w:gridCol w:w="1028"/>
        <w:gridCol w:w="135"/>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395,453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374,503</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Restricted Stock Units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188,418</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285,628</w:t>
            </w:r>
          </w:p>
        </w:tc>
        <w:tc>
          <w:tcPr>
            <w:tcW w:w="13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Convertible notes payable</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double" w:sz="10" w:space="0" w:color="000000"/>
            </w:tcBorders>
            <w:tcMar>
              <w:bottom w:w="28" w:type="dxa"/>
            </w:tcMar>
            <w:vAlign w:val="center"/>
          </w:tcPr>
          <w:p>
            <w:pPr>
              <w:pStyle w:val="TableContents"/>
              <w:bidi w:val="0"/>
              <w:spacing w:before="0" w:after="283"/>
              <w:jc w:val="left"/>
              <w:rPr/>
            </w:pPr>
            <w:r>
              <w:rPr/>
              <w:t> </w:t>
            </w:r>
          </w:p>
        </w:tc>
        <w:tc>
          <w:tcPr>
            <w:tcW w:w="993" w:type="dxa"/>
            <w:tcBorders>
              <w:bottom w:val="double" w:sz="10" w:space="0" w:color="000000"/>
            </w:tcBorders>
            <w:tcMar>
              <w:bottom w:w="28" w:type="dxa"/>
            </w:tcMar>
            <w:vAlign w:val="center"/>
          </w:tcPr>
          <w:p>
            <w:pPr>
              <w:pStyle w:val="TableContents"/>
              <w:bidi w:val="0"/>
              <w:spacing w:before="0" w:after="283"/>
              <w:jc w:val="right"/>
              <w:rPr/>
            </w:pPr>
            <w:r>
              <w:rPr/>
              <w:t>945,571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8" w:type="dxa"/>
            <w:tcBorders>
              <w:bottom w:val="double" w:sz="10" w:space="0" w:color="000000"/>
            </w:tcBorders>
            <w:tcMar>
              <w:bottom w:w="28" w:type="dxa"/>
            </w:tcMar>
            <w:vAlign w:val="center"/>
          </w:tcPr>
          <w:p>
            <w:pPr>
              <w:pStyle w:val="TableContents"/>
              <w:bidi w:val="0"/>
              <w:spacing w:before="0" w:after="283"/>
              <w:jc w:val="right"/>
              <w:rPr/>
            </w:pPr>
            <w:r>
              <w:rPr/>
              <w:t>1,021,831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Stock-based compensation expense for employees amounted to $535,000 and $435,000 for the three months ended March 31, 2026 and 2025, respectively. Stock-based compensation expense for directors amounted to $429,000 and $39,000 for the three months ended March 31, 2026 and 2025, respectively. Stock compensation expenses for employees and directors were included in operating expenses in the accompanying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which requires public business entities to disclose additional information about specific expenses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other recently issued, but not yet effective, accounting standards if currently adopted would have a material effect on the accompanying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property and equipment at March 31, 2026 and December 31, 2025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3155"/>
        <w:gridCol w:w="90"/>
        <w:gridCol w:w="170"/>
        <w:gridCol w:w="1205"/>
        <w:gridCol w:w="125"/>
        <w:gridCol w:w="90"/>
        <w:gridCol w:w="178"/>
        <w:gridCol w:w="1266"/>
        <w:gridCol w:w="125"/>
        <w:gridCol w:w="90"/>
        <w:gridCol w:w="90"/>
        <w:gridCol w:w="1130"/>
        <w:gridCol w:w="135"/>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313,000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313,000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Buildings and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2,739,000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2,739,000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31.5 years</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Machinery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27,080,000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26,953,000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5 - 8 years</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Tools and Instruments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16,577,000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16,278,000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1.5 - 7 years</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Automotive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266,000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Furniture and Fixtures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309,000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5 - 8 years</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1,139,000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1,139,000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Term of lease</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Computers and Software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705,000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705,000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4 - 6  years</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49,128,000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48,702,000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(39,913,000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(39,201,000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9,215,000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9,501,000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and 2025 was approximately $711,000 and $580,000,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leased office and manufacturing facilities. The leases have remaining lease terms of one to five years, some of which include options to extend or terminate the leases.</w:t>
      </w:r>
    </w:p>
    <w:p>
      <w:pPr>
        <w:pStyle w:val="TextBody"/>
        <w:bidi w:val="0"/>
        <w:spacing w:before="0" w:after="0"/>
        <w:ind w:left="0" w:right="0" w:hanging="0"/>
        <w:jc w:val="both"/>
        <w:rPr>
          <w:caps w:val="false"/>
          <w:smallCaps w:val="false"/>
        </w:rPr>
      </w:pPr>
      <w:r>
        <w:rPr>
          <w:caps w:val="false"/>
          <w:smallCaps w:val="false"/>
        </w:rPr>
        <w:t> </w:t>
      </w:r>
    </w:p>
    <w:tbl>
      <w:tblPr>
        <w:tblW w:w="8912" w:type="dxa"/>
        <w:jc w:val="left"/>
        <w:tblInd w:w="0" w:type="dxa"/>
        <w:tblLayout w:type="fixed"/>
        <w:tblCellMar>
          <w:top w:w="0" w:type="dxa"/>
          <w:left w:w="0" w:type="dxa"/>
          <w:bottom w:w="0" w:type="dxa"/>
          <w:right w:w="0" w:type="dxa"/>
        </w:tblCellMar>
      </w:tblPr>
      <w:tblGrid>
        <w:gridCol w:w="6305"/>
        <w:gridCol w:w="90"/>
        <w:gridCol w:w="186"/>
        <w:gridCol w:w="913"/>
        <w:gridCol w:w="92"/>
        <w:gridCol w:w="92"/>
        <w:gridCol w:w="186"/>
        <w:gridCol w:w="913"/>
        <w:gridCol w:w="135"/>
      </w:tblGrid>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248,000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278,000</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Total lease cost</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248,000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278,000</w:t>
            </w:r>
          </w:p>
        </w:tc>
        <w:tc>
          <w:tcPr>
            <w:tcW w:w="135"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Other Information</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Cash paid for amounts included in the measurement lease liability:</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243,000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273,000</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Operating cash flow from operating leases</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243,000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273,000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5060"/>
        <w:gridCol w:w="90"/>
        <w:gridCol w:w="175"/>
        <w:gridCol w:w="924"/>
        <w:gridCol w:w="245"/>
        <w:gridCol w:w="90"/>
        <w:gridCol w:w="90"/>
        <w:gridCol w:w="1430"/>
        <w:gridCol w:w="290"/>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Weighted Average Remaining Lease Term - in years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r>
              <w:rPr/>
              <w:t>0.75</w:t>
            </w:r>
          </w:p>
        </w:tc>
        <w:tc>
          <w:tcPr>
            <w:tcW w:w="29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Weighted Average discount rate -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9.50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9.50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undiscounted cash flows of operating lease payments as of March 31, 2026, with remaining terms greater than one year are as follows:</w:t>
      </w:r>
    </w:p>
    <w:p>
      <w:pPr>
        <w:pStyle w:val="TextBody"/>
        <w:bidi w:val="0"/>
        <w:spacing w:before="0" w:after="0"/>
        <w:ind w:left="0" w:right="0" w:hanging="0"/>
        <w:jc w:val="left"/>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4955"/>
        <w:gridCol w:w="90"/>
        <w:gridCol w:w="170"/>
        <w:gridCol w:w="905"/>
        <w:gridCol w:w="170"/>
      </w:tblGrid>
      <w:tr>
        <w:trPr/>
        <w:tc>
          <w:tcPr>
            <w:tcW w:w="4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December 31, 2026 (remainder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486,000</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Total future minimum lease payments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486,000</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(13,000</w:t>
            </w:r>
          </w:p>
        </w:tc>
        <w:tc>
          <w:tcPr>
            <w:tcW w:w="17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Total operating lease maturities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473,000</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current portion of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(473,000</w:t>
            </w:r>
          </w:p>
        </w:tc>
        <w:tc>
          <w:tcPr>
            <w:tcW w:w="17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Total long term portion of operating lease maturities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 outstanding as of March 31, 2026 is $26,562,000 and was $25,233,000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third parties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3455"/>
        <w:gridCol w:w="90"/>
        <w:gridCol w:w="170"/>
        <w:gridCol w:w="1205"/>
        <w:gridCol w:w="125"/>
        <w:gridCol w:w="90"/>
        <w:gridCol w:w="170"/>
        <w:gridCol w:w="1430"/>
        <w:gridCol w:w="170"/>
      </w:tblGrid>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Current Credit Facility - Revolver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19,283,000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17,618,000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Current Credit Facility - Term Loan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5,593,000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5,855,000</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Solar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957,000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971,000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Finance lease obligations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726,000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784,000</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Loans Payable - financed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Subtotal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26,562,000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25,233,000</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Less: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(25,102,000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(23,721,000</w:t>
            </w:r>
          </w:p>
        </w:tc>
        <w:tc>
          <w:tcPr>
            <w:tcW w:w="170" w:type="dxa"/>
            <w:tcBorders/>
            <w:shd w:fill="CCEEFF" w:val="clear"/>
            <w:vAlign w:val="center"/>
          </w:tcPr>
          <w:p>
            <w:pPr>
              <w:pStyle w:val="TableContents"/>
              <w:bidi w:val="0"/>
              <w:spacing w:before="0" w:after="283"/>
              <w:jc w:val="left"/>
              <w:rPr/>
            </w:pPr>
            <w:r>
              <w:rPr/>
              <w:t>)</w:t>
            </w:r>
          </w:p>
        </w:tc>
      </w:tr>
      <w:tr>
        <w:trPr/>
        <w:tc>
          <w:tcPr>
            <w:tcW w:w="3455" w:type="dxa"/>
            <w:tcBorders/>
            <w:vAlign w:val="center"/>
          </w:tcPr>
          <w:p>
            <w:pPr>
              <w:pStyle w:val="TableContents"/>
              <w:bidi w:val="0"/>
              <w:spacing w:before="0" w:after="283"/>
              <w:jc w:val="left"/>
              <w:rPr/>
            </w:pPr>
            <w:r>
              <w:rPr/>
              <w:t>Long-Term Portion</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1,460,000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tcMar>
              <w:bottom w:w="28" w:type="dxa"/>
            </w:tcMar>
            <w:vAlign w:val="center"/>
          </w:tcPr>
          <w:p>
            <w:pPr>
              <w:pStyle w:val="TableContents"/>
              <w:bidi w:val="0"/>
              <w:spacing w:before="0" w:after="283"/>
              <w:jc w:val="right"/>
              <w:rPr/>
            </w:pPr>
            <w:r>
              <w:rPr/>
              <w:t>1,512,000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credit facility (“Current Credit Facility”) with Webster Bank that expires on September 30, 2026. This facility, which was entered into on December 31, 2019, was amended several times and now provides for a $20,000,000 revolving loan (“Revolving Line of Credit”), a $5,700,000 term loan and a $1,640,000 term loan (“Term Loans”). The loan is secured by a lien on substantially all of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is $19,283,000 outstanding under the Revolving Line of Credit and $5,593,000 under the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the Company was in default of its minimum Fixed Charge Coverage Ratio (“FCCR”) of 1.10x as of March 31, 2026, and the Current Credit Facility expires on September 30, 2026. Therefore, the entire Term Loan and all amounts due under the Revolving Line of Credit are classified as short term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shows the timing of payments due under the Term Loan:</w:t>
      </w:r>
    </w:p>
    <w:p>
      <w:pPr>
        <w:pStyle w:val="TextBody"/>
        <w:bidi w:val="0"/>
        <w:spacing w:before="0" w:after="0"/>
        <w:ind w:left="0" w:right="0" w:hanging="0"/>
        <w:jc w:val="both"/>
        <w:rPr>
          <w:caps w:val="false"/>
          <w:smallCaps w:val="false"/>
        </w:rPr>
      </w:pPr>
      <w:r>
        <w:rPr>
          <w:caps w:val="false"/>
          <w:smallCaps w:val="false"/>
        </w:rPr>
        <w:t> </w:t>
      </w:r>
    </w:p>
    <w:tbl>
      <w:tblPr>
        <w:tblW w:w="5960" w:type="dxa"/>
        <w:jc w:val="left"/>
        <w:tblInd w:w="0" w:type="dxa"/>
        <w:tblLayout w:type="fixed"/>
        <w:tblCellMar>
          <w:top w:w="0" w:type="dxa"/>
          <w:left w:w="0" w:type="dxa"/>
          <w:bottom w:w="28" w:type="dxa"/>
          <w:right w:w="0" w:type="dxa"/>
        </w:tblCellMar>
      </w:tblPr>
      <w:tblGrid>
        <w:gridCol w:w="4445"/>
        <w:gridCol w:w="90"/>
        <w:gridCol w:w="170"/>
        <w:gridCol w:w="1085"/>
        <w:gridCol w:w="170"/>
      </w:tblGrid>
      <w:tr>
        <w:trPr/>
        <w:tc>
          <w:tcPr>
            <w:tcW w:w="4445"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December 31, 2026 (remainder of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85" w:type="dxa"/>
            <w:tcBorders>
              <w:bottom w:val="single" w:sz="12" w:space="0" w:color="000000"/>
            </w:tcBorders>
            <w:shd w:fill="CCEEFF" w:val="clear"/>
            <w:vAlign w:val="center"/>
          </w:tcPr>
          <w:p>
            <w:pPr>
              <w:pStyle w:val="TableContents"/>
              <w:bidi w:val="0"/>
              <w:spacing w:before="0" w:after="283"/>
              <w:jc w:val="right"/>
              <w:rPr/>
            </w:pPr>
            <w:r>
              <w:rPr/>
              <w:t>5,593,000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tcMar>
              <w:bottom w:w="0" w:type="dxa"/>
            </w:tcMar>
            <w:vAlign w:val="center"/>
          </w:tcPr>
          <w:p>
            <w:pPr>
              <w:pStyle w:val="TableContents"/>
              <w:bidi w:val="0"/>
              <w:spacing w:before="0" w:after="283"/>
              <w:jc w:val="left"/>
              <w:rPr/>
            </w:pPr>
            <w:r>
              <w:rPr/>
              <w:t>Term Loan payable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5,593,000</w:t>
            </w:r>
          </w:p>
        </w:tc>
        <w:tc>
          <w:tcPr>
            <w:tcW w:w="170"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Less: Current portion of Term Loan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pPr>
            <w:r>
              <w:rPr/>
              <w:t>(5,593,000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445" w:type="dxa"/>
            <w:tcBorders/>
            <w:tcMar>
              <w:bottom w:w="0" w:type="dxa"/>
            </w:tcMar>
            <w:vAlign w:val="center"/>
          </w:tcPr>
          <w:p>
            <w:pPr>
              <w:pStyle w:val="TableContents"/>
              <w:bidi w:val="0"/>
              <w:spacing w:before="0" w:after="283"/>
              <w:jc w:val="left"/>
              <w:rPr/>
            </w:pPr>
            <w:r>
              <w:rPr/>
              <w:t>Total long-term portion of Term Loan payable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85" w:type="dxa"/>
            <w:tcBorders>
              <w:bottom w:val="double" w:sz="10" w:space="0" w:color="000000"/>
            </w:tcBorders>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Current Credit Facility amounted to approximately $379,000 and $315,000 for the three months ended March 31, 2026 and 2025, respectively. Interest expense includes the amortization of deferred finance costs of $0 and $17,000 for the three months ending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various terms of the Current Credit Facility: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meet a Fixed Charge Coverage Ratio (as defined) that is determined at the end of each fiscal quarter of 1.10x. As of March 31,2026, the Company was in default with this ratio having attained a ratio of only 0.93. At December 31, 2025, the Company was in full compliance with its covenants.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limits the amount of capital expenditures and dividends the Company can pay to its stockholders. As of March 31, 2026, the Company was in compliance with this Covenant.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assets are pledged as collateral.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The average interest rate charged was 6.10% and 6.85% for the three months ended March 31,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certain amendments to the Current Credit Facility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we entered into an Eighth Amendment to provide for an additional Term Loan in the amount of $1,640,000 for the acquisition of additional equipment. The monthly principal installments on this additional Term Loan are $19,524. This amendment further revised our Financial Covenants. For the rolling twelve-month period ending March 31, 2025 and June 30, 2025, we are required to achieve a Fixed Charge Coverage Ratio of 1.05x. Beginning with the rolling twelve-month period ending September 30, 2025 and going forward the Company is required to achieve a Fixed Charge Coverage Ratio of 1.25x. Additionally, the Company is allowed to pay off up to $4,800,000 of related party notes with funds raised in the Company’s At The Market debt offering.  All other covenants remain unchanged. In connection with these changes, the Company paid an amendment fee of $20,000.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September 10, 2025, the Company entered into a Ninth Amendment where it agreed that $3,930,000 of the proceeds from its ATM Offering would be maintained in an interest bearing account. The funds in this account serve as additional security for its obligations under the Current Credit Facility. Additionally, this amendment waived the default as June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February 26, 2026, the Company entered into an Eleventh Amendment to which extended the maturity date of the revolving credit and term loans to September 30, 2026. The company paid an amendment fee of $25,000 and agreed to pay an additional fee of $150,000 on the maturity date.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is in default under the Current Credit Facility, the lender could exercise additional rights and remedies, such as increasing the rate of interest on outstanding amounts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we agreed to put $3,930,000 of ATM proceeds in an interest bearing account to serve as additional security for the Company’s obligations under the Current Credit Facility. 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with alternative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borrowing capacity of approximately $717,000 under the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Solar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the Company entered into a financing agreement (“Solar Credit Facility”) with CT Green Bank, a quasi-public agency of the State of Connecticut, for the installation of solar energy systems including replacing the existing roof (“Project”) at its Sterling facility. Advances were made by CT Green Bank upon its approval of costs incurred on the Project up to $934,000. As of October 1, 2024, cumulative advances totaling $934,000 had been made including the payment of CT Green Bank’s closing costs of $25,000. Total interest accrued on the advances at the rate of 5% was $36,000.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are due commencing on July 1, 2025. The first semi-annual payment was for interest only. The second payment due January 1, 2026 and all subsequent semi-annual payments include both principal and interest. As of March 31, 2026, the amount classified as short term is $29,000 and the amount classified as long term is $928,000.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Solar Credit Facility amounted to approximately $14,000 and $14,000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finance leases for the purchase of additional manufacturing equipment. The obligations for the finance leases totaled $726,000 and $784,000 as of March 31, 2026 and December 31, 2025, respectively. The leases have an average imputed interest rate of 7.43% per annum and are payable monthly with the final payments due between September of 2026 and May of 2030.</w:t>
      </w:r>
    </w:p>
    <w:p>
      <w:pPr>
        <w:pStyle w:val="TextBody"/>
        <w:bidi w:val="0"/>
        <w:spacing w:before="0" w:after="0"/>
        <w:ind w:left="0" w:right="0" w:hanging="0"/>
        <w:jc w:val="both"/>
        <w:rPr>
          <w:caps w:val="false"/>
          <w:smallCaps w:val="false"/>
        </w:rPr>
      </w:pPr>
      <w:r>
        <w:rPr>
          <w:caps w:val="false"/>
          <w:smallCaps w:val="false"/>
        </w:rPr>
        <w:t> </w:t>
      </w:r>
    </w:p>
    <w:tbl>
      <w:tblPr>
        <w:tblW w:w="9084" w:type="dxa"/>
        <w:jc w:val="left"/>
        <w:tblInd w:w="0" w:type="dxa"/>
        <w:tblLayout w:type="fixed"/>
        <w:tblCellMar>
          <w:top w:w="0" w:type="dxa"/>
          <w:left w:w="0" w:type="dxa"/>
          <w:bottom w:w="0" w:type="dxa"/>
          <w:right w:w="0" w:type="dxa"/>
        </w:tblCellMar>
      </w:tblPr>
      <w:tblGrid>
        <w:gridCol w:w="6455"/>
        <w:gridCol w:w="90"/>
        <w:gridCol w:w="212"/>
        <w:gridCol w:w="887"/>
        <w:gridCol w:w="103"/>
        <w:gridCol w:w="103"/>
        <w:gridCol w:w="212"/>
        <w:gridCol w:w="887"/>
        <w:gridCol w:w="135"/>
      </w:tblGrid>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Finance Lease cost: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Amortization of ROU assets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49,000</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49,000</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Interest on lease liabilities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14,000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Total lease Costs</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tcMar>
              <w:bottom w:w="28" w:type="dxa"/>
            </w:tcMar>
            <w:vAlign w:val="center"/>
          </w:tcPr>
          <w:p>
            <w:pPr>
              <w:pStyle w:val="TableContents"/>
              <w:bidi w:val="0"/>
              <w:spacing w:before="0" w:after="283"/>
              <w:jc w:val="right"/>
              <w:rPr/>
            </w:pPr>
            <w:r>
              <w:rPr/>
              <w:t>63,000</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tcMar>
              <w:bottom w:w="28" w:type="dxa"/>
            </w:tcMar>
            <w:vAlign w:val="center"/>
          </w:tcPr>
          <w:p>
            <w:pPr>
              <w:pStyle w:val="TableContents"/>
              <w:bidi w:val="0"/>
              <w:spacing w:before="0" w:after="283"/>
              <w:jc w:val="right"/>
              <w:rPr/>
            </w:pPr>
            <w:r>
              <w:rPr/>
              <w:t>67,000</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Other Information:</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Cash Paid for amounts included in the measurement lease liabilities: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Financing cash flow from finance lease obligations</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tcMar>
              <w:bottom w:w="28" w:type="dxa"/>
            </w:tcMar>
            <w:vAlign w:val="center"/>
          </w:tcPr>
          <w:p>
            <w:pPr>
              <w:pStyle w:val="TableContents"/>
              <w:bidi w:val="0"/>
              <w:spacing w:before="0" w:after="283"/>
              <w:jc w:val="right"/>
              <w:rPr/>
            </w:pPr>
            <w:r>
              <w:rPr/>
              <w:t>58,000</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tcMar>
              <w:bottom w:w="28" w:type="dxa"/>
            </w:tcMar>
            <w:vAlign w:val="center"/>
          </w:tcPr>
          <w:p>
            <w:pPr>
              <w:pStyle w:val="TableContents"/>
              <w:bidi w:val="0"/>
              <w:spacing w:before="0" w:after="283"/>
              <w:jc w:val="right"/>
              <w:rPr/>
            </w:pPr>
            <w:r>
              <w:rPr/>
              <w:t>54,000</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Supplemental disclosure of non-cash activity</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Acquisition of finance lease asset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5120"/>
        <w:gridCol w:w="90"/>
        <w:gridCol w:w="175"/>
        <w:gridCol w:w="924"/>
        <w:gridCol w:w="245"/>
        <w:gridCol w:w="90"/>
        <w:gridCol w:w="231"/>
        <w:gridCol w:w="1213"/>
        <w:gridCol w:w="290"/>
      </w:tblGrid>
      <w:tr>
        <w:trPr/>
        <w:tc>
          <w:tcPr>
            <w:tcW w:w="5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Weighted  Average Remaining Lease Term - in years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4.8</w:t>
            </w:r>
          </w:p>
        </w:tc>
        <w:tc>
          <w:tcPr>
            <w:tcW w:w="290"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Weighted Average Discount rate -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7.43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7.44</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aggregate future minimum finance lease payments, including imputed interest are as follows:</w:t>
      </w:r>
    </w:p>
    <w:p>
      <w:pPr>
        <w:pStyle w:val="TextBody"/>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28" w:type="dxa"/>
          <w:right w:w="0" w:type="dxa"/>
        </w:tblCellMar>
      </w:tblPr>
      <w:tblGrid>
        <w:gridCol w:w="4370"/>
        <w:gridCol w:w="90"/>
        <w:gridCol w:w="170"/>
        <w:gridCol w:w="905"/>
        <w:gridCol w:w="170"/>
      </w:tblGrid>
      <w:tr>
        <w:trPr/>
        <w:tc>
          <w:tcPr>
            <w:tcW w:w="4370"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107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2026 (remainder of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905" w:type="dxa"/>
            <w:tcBorders/>
            <w:shd w:fill="CCEEFF" w:val="clear"/>
            <w:tcMar>
              <w:bottom w:w="0" w:type="dxa"/>
            </w:tcMar>
            <w:vAlign w:val="center"/>
          </w:tcPr>
          <w:p>
            <w:pPr>
              <w:pStyle w:val="TableContents"/>
              <w:bidi w:val="0"/>
              <w:spacing w:before="0" w:after="283"/>
              <w:jc w:val="right"/>
              <w:rPr/>
            </w:pPr>
            <w:r>
              <w:rPr/>
              <w:t>193,000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December 31, 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190,000</w:t>
            </w:r>
          </w:p>
        </w:tc>
        <w:tc>
          <w:tcPr>
            <w:tcW w:w="1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190,000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December 31, 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190,000</w:t>
            </w:r>
          </w:p>
        </w:tc>
        <w:tc>
          <w:tcPr>
            <w:tcW w:w="1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75,000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Total future minimum finance lease payments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838,000</w:t>
            </w:r>
          </w:p>
        </w:tc>
        <w:tc>
          <w:tcPr>
            <w:tcW w:w="1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(112,000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tcMar>
              <w:bottom w:w="0" w:type="dxa"/>
            </w:tcMar>
            <w:vAlign w:val="center"/>
          </w:tcPr>
          <w:p>
            <w:pPr>
              <w:pStyle w:val="TableContents"/>
              <w:bidi w:val="0"/>
              <w:spacing w:before="0" w:after="283"/>
              <w:jc w:val="left"/>
              <w:rPr/>
            </w:pPr>
            <w:r>
              <w:rPr/>
              <w:t>Less: Current portion</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pPr>
            <w:r>
              <w:rPr/>
              <w:t>(194,000</w:t>
            </w:r>
          </w:p>
        </w:tc>
        <w:tc>
          <w:tcPr>
            <w:tcW w:w="170"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Long-term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905" w:type="dxa"/>
            <w:tcBorders>
              <w:bottom w:val="double" w:sz="10" w:space="0" w:color="000000"/>
            </w:tcBorders>
            <w:shd w:fill="CCEEFF" w:val="clear"/>
            <w:vAlign w:val="center"/>
          </w:tcPr>
          <w:p>
            <w:pPr>
              <w:pStyle w:val="TableContents"/>
              <w:bidi w:val="0"/>
              <w:spacing w:before="0" w:after="283"/>
              <w:jc w:val="right"/>
              <w:rPr/>
            </w:pPr>
            <w:r>
              <w:rPr/>
              <w:t>532,000</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Payable – Financed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financed the purchase of a delivery vehicle in July 2020. The loan obligation totaled $3,000 and $5,000 as of March 31, 2026 and December 31, 2025, respectively. The loan bears no interest and a final payment is due and payable for all unpaid principal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maturities of this loan are as follows:</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28" w:type="dxa"/>
          <w:right w:w="0" w:type="dxa"/>
        </w:tblCellMar>
      </w:tblPr>
      <w:tblGrid>
        <w:gridCol w:w="3740"/>
        <w:gridCol w:w="90"/>
        <w:gridCol w:w="181"/>
        <w:gridCol w:w="709"/>
        <w:gridCol w:w="170"/>
      </w:tblGrid>
      <w:tr>
        <w:trPr/>
        <w:tc>
          <w:tcPr>
            <w:tcW w:w="3740"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December 31, 2026 (remainder of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CCEEFF" w:val="clear"/>
            <w:vAlign w:val="center"/>
          </w:tcPr>
          <w:p>
            <w:pPr>
              <w:pStyle w:val="TableContents"/>
              <w:bidi w:val="0"/>
              <w:spacing w:before="0" w:after="283"/>
              <w:jc w:val="left"/>
              <w:rPr/>
            </w:pPr>
            <w:r>
              <w:rPr/>
              <w:t>$</w:t>
            </w:r>
          </w:p>
        </w:tc>
        <w:tc>
          <w:tcPr>
            <w:tcW w:w="709" w:type="dxa"/>
            <w:tcBorders>
              <w:bottom w:val="single" w:sz="12" w:space="0" w:color="000000"/>
            </w:tcBorders>
            <w:shd w:fill="CCEEFF" w:val="clear"/>
            <w:vAlign w:val="center"/>
          </w:tcPr>
          <w:p>
            <w:pPr>
              <w:pStyle w:val="TableContents"/>
              <w:bidi w:val="0"/>
              <w:spacing w:before="0" w:after="283"/>
              <w:jc w:val="right"/>
              <w:rPr/>
            </w:pPr>
            <w:r>
              <w:rPr/>
              <w:t>3,000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Loans Payable - financed assets</w:t>
            </w:r>
          </w:p>
        </w:tc>
        <w:tc>
          <w:tcPr>
            <w:tcW w:w="9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709" w:type="dxa"/>
            <w:tcBorders/>
            <w:tcMar>
              <w:bottom w:w="0" w:type="dxa"/>
            </w:tcMar>
            <w:vAlign w:val="center"/>
          </w:tcPr>
          <w:p>
            <w:pPr>
              <w:pStyle w:val="TableContents"/>
              <w:bidi w:val="0"/>
              <w:spacing w:before="0" w:after="283"/>
              <w:jc w:val="right"/>
              <w:rPr/>
            </w:pPr>
            <w:r>
              <w:rPr/>
              <w:t>3,000</w:t>
            </w:r>
          </w:p>
        </w:tc>
        <w:tc>
          <w:tcPr>
            <w:tcW w:w="170"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Less: Current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CCEEFF" w:val="clear"/>
            <w:vAlign w:val="center"/>
          </w:tcPr>
          <w:p>
            <w:pPr>
              <w:pStyle w:val="TableContents"/>
              <w:bidi w:val="0"/>
              <w:spacing w:before="0" w:after="283"/>
              <w:jc w:val="left"/>
              <w:rPr/>
            </w:pPr>
            <w:r>
              <w:rPr/>
              <w:t> </w:t>
            </w:r>
          </w:p>
        </w:tc>
        <w:tc>
          <w:tcPr>
            <w:tcW w:w="709" w:type="dxa"/>
            <w:tcBorders>
              <w:bottom w:val="single" w:sz="12" w:space="0" w:color="000000"/>
            </w:tcBorders>
            <w:shd w:fill="CCEEFF" w:val="clear"/>
            <w:vAlign w:val="center"/>
          </w:tcPr>
          <w:p>
            <w:pPr>
              <w:pStyle w:val="TableContents"/>
              <w:bidi w:val="0"/>
              <w:spacing w:before="0" w:after="283"/>
              <w:jc w:val="right"/>
              <w:rPr/>
            </w:pPr>
            <w:r>
              <w:rPr/>
              <w:t>(3,000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tcMar>
              <w:bottom w:w="0" w:type="dxa"/>
            </w:tcMar>
            <w:vAlign w:val="center"/>
          </w:tcPr>
          <w:p>
            <w:pPr>
              <w:pStyle w:val="TableContents"/>
              <w:bidi w:val="0"/>
              <w:spacing w:before="0" w:after="283"/>
              <w:jc w:val="left"/>
              <w:rPr/>
            </w:pPr>
            <w:r>
              <w:rPr/>
              <w:t>Long-term portion</w:t>
            </w:r>
          </w:p>
        </w:tc>
        <w:tc>
          <w:tcPr>
            <w:tcW w:w="90" w:type="dxa"/>
            <w:tcBorders/>
            <w:tcMar>
              <w:bottom w:w="0" w:type="dxa"/>
            </w:tcMar>
            <w:vAlign w:val="center"/>
          </w:tcPr>
          <w:p>
            <w:pPr>
              <w:pStyle w:val="TableContents"/>
              <w:bidi w:val="0"/>
              <w:spacing w:before="0" w:after="283"/>
              <w:jc w:val="left"/>
              <w:rPr/>
            </w:pPr>
            <w:r>
              <w:rPr/>
              <w:t> </w:t>
            </w:r>
          </w:p>
        </w:tc>
        <w:tc>
          <w:tcPr>
            <w:tcW w:w="181" w:type="dxa"/>
            <w:tcBorders>
              <w:bottom w:val="double" w:sz="10" w:space="0" w:color="000000"/>
            </w:tcBorders>
            <w:vAlign w:val="center"/>
          </w:tcPr>
          <w:p>
            <w:pPr>
              <w:pStyle w:val="TableContents"/>
              <w:bidi w:val="0"/>
              <w:spacing w:before="0" w:after="283"/>
              <w:jc w:val="left"/>
              <w:rPr/>
            </w:pPr>
            <w:r>
              <w:rPr/>
              <w:t>$</w:t>
            </w:r>
          </w:p>
        </w:tc>
        <w:tc>
          <w:tcPr>
            <w:tcW w:w="709" w:type="dxa"/>
            <w:tcBorders>
              <w:bottom w:val="double" w:sz="10" w:space="0" w:color="000000"/>
            </w:tcBorders>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is a corporation co-founded by two directors of the Company, Michael and Robert Taglich.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issuance of the Related Party Notes, Michael and Robert Taglich were issued a total of 35,508 shares of common stock and Taglich Brothers, Inc. was issued promissory notes totaling $554,000 for placement agency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Eighth Amendment to the Current Credit Facility, the Company is allowed to make principal payments of up to $4,800,000 with funds raised in the Company’s At the Market offering. For the three month period ended March 31, 2025, the Company paid a total of $1,291,000 of principal payments. Of the $1,291,000 paid, $1,050,000 was paid to Michael Taglich and $241,000 was paid to Taglich Brothers,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outstanding as of March 31, 2026 and December 31, 2025 consist of:</w:t>
      </w:r>
    </w:p>
    <w:p>
      <w:pPr>
        <w:pStyle w:val="TextBody"/>
        <w:bidi w:val="0"/>
        <w:spacing w:before="0" w:after="0"/>
        <w:ind w:left="0" w:right="0" w:hanging="0"/>
        <w:jc w:val="both"/>
        <w:rPr>
          <w:caps w:val="false"/>
          <w:smallCaps w:val="false"/>
        </w:rPr>
      </w:pPr>
      <w:r>
        <w:rPr>
          <w:caps w:val="false"/>
          <w:smallCaps w:val="false"/>
        </w:rPr>
        <w:t> </w:t>
      </w:r>
    </w:p>
    <w:tbl>
      <w:tblPr>
        <w:tblW w:w="8424" w:type="dxa"/>
        <w:jc w:val="left"/>
        <w:tblInd w:w="0" w:type="dxa"/>
        <w:tblLayout w:type="fixed"/>
        <w:tblCellMar>
          <w:top w:w="0" w:type="dxa"/>
          <w:left w:w="0" w:type="dxa"/>
          <w:bottom w:w="0" w:type="dxa"/>
          <w:right w:w="0" w:type="dxa"/>
        </w:tblCellMar>
      </w:tblPr>
      <w:tblGrid>
        <w:gridCol w:w="3110"/>
        <w:gridCol w:w="90"/>
        <w:gridCol w:w="170"/>
        <w:gridCol w:w="1010"/>
        <w:gridCol w:w="90"/>
        <w:gridCol w:w="90"/>
        <w:gridCol w:w="170"/>
        <w:gridCol w:w="1010"/>
        <w:gridCol w:w="90"/>
        <w:gridCol w:w="90"/>
        <w:gridCol w:w="221"/>
        <w:gridCol w:w="788"/>
        <w:gridCol w:w="90"/>
        <w:gridCol w:w="90"/>
        <w:gridCol w:w="170"/>
        <w:gridCol w:w="1010"/>
        <w:gridCol w:w="135"/>
      </w:tblGrid>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Michael</w:t>
              <w:br/>
              <w:t>Taglich,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Robert</w:t>
              <w:br/>
              <w:t>Taglich,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Taglich</w:t>
              <w:br/>
              <w:t>Brothers,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Convertible Subordinated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4,321,000</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Subordinated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550,000</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2,416,000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2,455,000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4,871,000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$4,871,000, approximately $2,519,000 bears an annual rate of interest of 6%, $1,802,000 bears an annual rate of 7% and $550,000 bears an annual interest rate of 12%. Interest expense for the three months ended March 31, 2026 and 2025 on all related party notes payable was $86,000 and $99,000,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There are no principal payments due prior to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are subordinate to outstanding debt pursuant to the Current Credit Facility and mature on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 Issuances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4,600 and 9,185 shares of common stock in payment of director fees totaling $14,000 and $39,000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of 2026, the Company issued 4,484 shares of common stock in payment of directors’ fees totaling $14,000.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of 2026, the Company issued 57,345 shares of common stock upon the vesting of Restricted Stock Units (“RSUs”) to certain employees and withheld the balance of the 94,210 RSUs in satisfaction of tax withholding obligations. This represents a portion of the RSUs granted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April of 2026, the Company issued 7,775 shares of common stock upon the vesting of RSUs to a former executive pursuant a separation agreement and withheld the balance of the 12,159 RSUs in satisfaction of withholding tax obligations. This represents a portion of the RSUs granted in February of 2026. (See Note 7.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shareholders of the Company approved the amendment to the 2022 Equity Incentive Plan (“2022 Plan”) to increase the number of shares authorized to be used under the plan by 250,000 shares, from 650,000 shares to 900,000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for certain employees and members of the Company’s Board of Directors of $27,000 and $18,000 for the three months ended March 31, 2026 and 2025, respectively, in its condensed consolidated statements of operations, and such amounts were included as a component of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stock options as of March 31, 2026 and December 31, 2025, and changes during the periods then ended are presented below:</w:t>
      </w:r>
    </w:p>
    <w:p>
      <w:pPr>
        <w:pStyle w:val="TextBody"/>
        <w:bidi w:val="0"/>
        <w:spacing w:before="0" w:after="0"/>
        <w:ind w:left="0" w:right="0" w:hanging="0"/>
        <w:jc w:val="both"/>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3635"/>
        <w:gridCol w:w="90"/>
        <w:gridCol w:w="90"/>
        <w:gridCol w:w="830"/>
        <w:gridCol w:w="125"/>
        <w:gridCol w:w="90"/>
        <w:gridCol w:w="246"/>
        <w:gridCol w:w="853"/>
        <w:gridCol w:w="135"/>
      </w:tblGrid>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center"/>
              <w:rPr/>
            </w:pPr>
            <w:r>
              <w:rPr/>
              <w:t> </w:t>
            </w:r>
          </w:p>
        </w:tc>
      </w:tr>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9" w:type="dxa"/>
            <w:gridSpan w:val="2"/>
            <w:tcBorders/>
            <w:vAlign w:val="center"/>
          </w:tcPr>
          <w:p>
            <w:pPr>
              <w:pStyle w:val="TableContents"/>
              <w:bidi w:val="0"/>
              <w:spacing w:before="0" w:after="283"/>
              <w:jc w:val="center"/>
              <w:rPr>
                <w:b/>
              </w:rPr>
            </w:pPr>
            <w:r>
              <w:rPr>
                <w:b/>
              </w:rPr>
              <w:t>Exercise</w:t>
            </w:r>
          </w:p>
        </w:tc>
        <w:tc>
          <w:tcPr>
            <w:tcW w:w="135" w:type="dxa"/>
            <w:tcBorders/>
            <w:vAlign w:val="center"/>
          </w:tcPr>
          <w:p>
            <w:pPr>
              <w:pStyle w:val="TableContents"/>
              <w:bidi w:val="0"/>
              <w:spacing w:before="0" w:after="283"/>
              <w:jc w:val="center"/>
              <w:rPr/>
            </w:pPr>
            <w:r>
              <w:rPr/>
              <w:t> </w:t>
            </w:r>
          </w:p>
        </w:tc>
      </w:tr>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135" w:type="dxa"/>
            <w:tcBorders/>
            <w:vAlign w:val="center"/>
          </w:tcPr>
          <w:p>
            <w:pPr>
              <w:pStyle w:val="TableContents"/>
              <w:bidi w:val="0"/>
              <w:spacing w:before="0" w:after="283"/>
              <w:jc w:val="center"/>
              <w:rPr/>
            </w:pPr>
            <w:r>
              <w:rPr/>
              <w:t> </w:t>
            </w:r>
          </w:p>
        </w:tc>
      </w:tr>
      <w:tr>
        <w:trPr/>
        <w:tc>
          <w:tcPr>
            <w:tcW w:w="3635" w:type="dxa"/>
            <w:tcBorders/>
            <w:shd w:fill="CCEEFF" w:val="clear"/>
            <w:vAlign w:val="center"/>
          </w:tcPr>
          <w:p>
            <w:pPr>
              <w:pStyle w:val="TableContents"/>
              <w:bidi w:val="0"/>
              <w:spacing w:before="0" w:after="283"/>
              <w:jc w:val="both"/>
              <w:rPr/>
            </w:pPr>
            <w:r>
              <w:rPr/>
              <w:t>Balance,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417,003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7.00</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Granted during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3.00</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Exercised during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Terminated/Expired during the period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(51,300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10.57</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425,703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6.01</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Granted during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Exercised during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Terminated/Expired during the period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(30,250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13.90</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Balance,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395,453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5.40</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Exercisable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380,453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5.50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outstanding stock options at March 31, 2026:</w:t>
      </w:r>
    </w:p>
    <w:p>
      <w:pPr>
        <w:pStyle w:val="TextBody"/>
        <w:bidi w:val="0"/>
        <w:spacing w:before="0" w:after="0"/>
        <w:ind w:left="0" w:right="0" w:hanging="0"/>
        <w:jc w:val="both"/>
        <w:rPr>
          <w:caps w:val="false"/>
          <w:smallCaps w:val="false"/>
        </w:rPr>
      </w:pPr>
      <w:r>
        <w:rPr>
          <w:caps w:val="false"/>
          <w:smallCaps w:val="false"/>
        </w:rPr>
        <w:t> </w:t>
      </w:r>
    </w:p>
    <w:tbl>
      <w:tblPr>
        <w:tblW w:w="7369" w:type="dxa"/>
        <w:jc w:val="left"/>
        <w:tblInd w:w="0" w:type="dxa"/>
        <w:tblLayout w:type="fixed"/>
        <w:tblCellMar>
          <w:top w:w="0" w:type="dxa"/>
          <w:left w:w="0" w:type="dxa"/>
          <w:bottom w:w="0" w:type="dxa"/>
          <w:right w:w="0" w:type="dxa"/>
        </w:tblCellMar>
      </w:tblPr>
      <w:tblGrid>
        <w:gridCol w:w="2480"/>
        <w:gridCol w:w="90"/>
        <w:gridCol w:w="90"/>
        <w:gridCol w:w="128"/>
        <w:gridCol w:w="1182"/>
        <w:gridCol w:w="90"/>
        <w:gridCol w:w="90"/>
        <w:gridCol w:w="1505"/>
        <w:gridCol w:w="90"/>
        <w:gridCol w:w="395"/>
        <w:gridCol w:w="1094"/>
        <w:gridCol w:w="135"/>
      </w:tblGrid>
      <w:tr>
        <w:trPr/>
        <w:tc>
          <w:tcPr>
            <w:tcW w:w="24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31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148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both"/>
              <w:rPr/>
            </w:pPr>
            <w:r>
              <w:rPr/>
              <w:t> </w:t>
            </w:r>
          </w:p>
        </w:tc>
      </w:tr>
      <w:tr>
        <w:trPr/>
        <w:tc>
          <w:tcPr>
            <w:tcW w:w="2480" w:type="dxa"/>
            <w:tcBorders>
              <w:bottom w:val="single" w:sz="12" w:space="0" w:color="000000"/>
            </w:tcBorders>
            <w:tcMar>
              <w:bottom w:w="28" w:type="dxa"/>
            </w:tcMar>
            <w:vAlign w:val="center"/>
          </w:tcPr>
          <w:p>
            <w:pPr>
              <w:pStyle w:val="TableContents"/>
              <w:bidi w:val="0"/>
              <w:spacing w:before="0" w:after="283"/>
              <w:jc w:val="both"/>
              <w:rPr>
                <w:b/>
              </w:rPr>
            </w:pPr>
            <w:r>
              <w:rPr>
                <w:b/>
              </w:rPr>
              <w:t>Range of Exercise Price</w:t>
            </w:r>
          </w:p>
        </w:tc>
        <w:tc>
          <w:tcPr>
            <w:tcW w:w="90" w:type="dxa"/>
            <w:tcBorders/>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505" w:type="dxa"/>
            <w:tcBorders>
              <w:bottom w:val="single" w:sz="12" w:space="0" w:color="000000"/>
            </w:tcBorders>
            <w:tcMar>
              <w:bottom w:w="28" w:type="dxa"/>
            </w:tcMar>
            <w:vAlign w:val="center"/>
          </w:tcPr>
          <w:p>
            <w:pPr>
              <w:pStyle w:val="TableContents"/>
              <w:bidi w:val="0"/>
              <w:spacing w:before="0" w:after="283"/>
              <w:jc w:val="center"/>
              <w:rPr>
                <w:b/>
              </w:rPr>
            </w:pPr>
            <w:r>
              <w:rPr>
                <w:b/>
              </w:rPr>
              <w:t>Wtd.Avg, Life</w:t>
            </w:r>
          </w:p>
        </w:tc>
        <w:tc>
          <w:tcPr>
            <w:tcW w:w="90" w:type="dxa"/>
            <w:tcBorders/>
            <w:vAlign w:val="center"/>
          </w:tcPr>
          <w:p>
            <w:pPr>
              <w:pStyle w:val="TableContents"/>
              <w:bidi w:val="0"/>
              <w:spacing w:before="0" w:after="283"/>
              <w:jc w:val="both"/>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Price</w:t>
            </w:r>
          </w:p>
        </w:tc>
        <w:tc>
          <w:tcPr>
            <w:tcW w:w="135" w:type="dxa"/>
            <w:tcBorders/>
            <w:vAlign w:val="center"/>
          </w:tcPr>
          <w:p>
            <w:pPr>
              <w:pStyle w:val="TableContents"/>
              <w:bidi w:val="0"/>
              <w:spacing w:before="0" w:after="283"/>
              <w:jc w:val="both"/>
              <w:rPr/>
            </w:pPr>
            <w:r>
              <w:rPr/>
              <w:t> </w:t>
            </w:r>
          </w:p>
        </w:tc>
      </w:tr>
      <w:tr>
        <w:trPr/>
        <w:tc>
          <w:tcPr>
            <w:tcW w:w="2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$3.00 - $23.80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28" w:type="dxa"/>
            <w:tcBorders/>
            <w:shd w:fill="CCEEFF" w:val="clear"/>
            <w:vAlign w:val="center"/>
          </w:tcPr>
          <w:p>
            <w:pPr>
              <w:pStyle w:val="TableContents"/>
              <w:bidi w:val="0"/>
              <w:spacing w:before="0" w:after="283"/>
              <w:jc w:val="center"/>
              <w:rPr/>
            </w:pPr>
            <w:r>
              <w:rPr/>
              <w:t> </w:t>
            </w:r>
          </w:p>
        </w:tc>
        <w:tc>
          <w:tcPr>
            <w:tcW w:w="1182" w:type="dxa"/>
            <w:tcBorders/>
            <w:shd w:fill="CCEEFF" w:val="clear"/>
            <w:vAlign w:val="center"/>
          </w:tcPr>
          <w:p>
            <w:pPr>
              <w:pStyle w:val="TableContents"/>
              <w:bidi w:val="0"/>
              <w:spacing w:before="0" w:after="283"/>
              <w:jc w:val="right"/>
              <w:rPr/>
            </w:pPr>
            <w:r>
              <w:rPr/>
              <w:t>395,453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505" w:type="dxa"/>
            <w:tcBorders/>
            <w:shd w:fill="CCEEFF" w:val="clear"/>
            <w:vAlign w:val="center"/>
          </w:tcPr>
          <w:p>
            <w:pPr>
              <w:pStyle w:val="TableContents"/>
              <w:bidi w:val="0"/>
              <w:spacing w:before="0" w:after="283"/>
              <w:jc w:val="center"/>
              <w:rPr/>
            </w:pPr>
            <w:r>
              <w:rPr/>
              <w:t>2.4 Years</w:t>
            </w:r>
          </w:p>
        </w:tc>
        <w:tc>
          <w:tcPr>
            <w:tcW w:w="90" w:type="dxa"/>
            <w:tcBorders/>
            <w:shd w:fill="CCEEFF" w:val="clear"/>
            <w:vAlign w:val="center"/>
          </w:tcPr>
          <w:p>
            <w:pPr>
              <w:pStyle w:val="TableContents"/>
              <w:bidi w:val="0"/>
              <w:spacing w:before="0" w:after="283"/>
              <w:jc w:val="both"/>
              <w:rPr/>
            </w:pPr>
            <w:r>
              <w:rPr/>
              <w:t> </w:t>
            </w:r>
          </w:p>
        </w:tc>
        <w:tc>
          <w:tcPr>
            <w:tcW w:w="395" w:type="dxa"/>
            <w:tcBorders/>
            <w:shd w:fill="CCEEFF" w:val="clear"/>
            <w:vAlign w:val="center"/>
          </w:tcPr>
          <w:p>
            <w:pPr>
              <w:pStyle w:val="TableContents"/>
              <w:bidi w:val="0"/>
              <w:spacing w:before="0" w:after="283"/>
              <w:jc w:val="center"/>
              <w:rPr/>
            </w:pPr>
            <w:r>
              <w:rPr/>
              <w:t>$</w:t>
            </w:r>
          </w:p>
        </w:tc>
        <w:tc>
          <w:tcPr>
            <w:tcW w:w="1094" w:type="dxa"/>
            <w:tcBorders/>
            <w:shd w:fill="CCEEFF" w:val="clear"/>
            <w:vAlign w:val="center"/>
          </w:tcPr>
          <w:p>
            <w:pPr>
              <w:pStyle w:val="TableContents"/>
              <w:bidi w:val="0"/>
              <w:spacing w:before="0" w:after="283"/>
              <w:jc w:val="right"/>
              <w:rPr/>
            </w:pPr>
            <w:r>
              <w:rPr/>
              <w:t>5.50</w:t>
            </w:r>
          </w:p>
        </w:tc>
        <w:tc>
          <w:tcPr>
            <w:tcW w:w="13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outstanding stock options at December 31, 2025:</w:t>
      </w:r>
    </w:p>
    <w:p>
      <w:pPr>
        <w:pStyle w:val="TextBody"/>
        <w:bidi w:val="0"/>
        <w:spacing w:before="0" w:after="0"/>
        <w:ind w:left="0" w:right="0" w:hanging="0"/>
        <w:jc w:val="both"/>
        <w:rPr>
          <w:caps w:val="false"/>
          <w:smallCaps w:val="false"/>
        </w:rPr>
      </w:pPr>
      <w:r>
        <w:rPr>
          <w:caps w:val="false"/>
          <w:smallCaps w:val="false"/>
        </w:rPr>
        <w:t> </w:t>
      </w:r>
    </w:p>
    <w:tbl>
      <w:tblPr>
        <w:tblW w:w="7369" w:type="dxa"/>
        <w:jc w:val="left"/>
        <w:tblInd w:w="0" w:type="dxa"/>
        <w:tblLayout w:type="fixed"/>
        <w:tblCellMar>
          <w:top w:w="0" w:type="dxa"/>
          <w:left w:w="0" w:type="dxa"/>
          <w:bottom w:w="0" w:type="dxa"/>
          <w:right w:w="0" w:type="dxa"/>
        </w:tblCellMar>
      </w:tblPr>
      <w:tblGrid>
        <w:gridCol w:w="2480"/>
        <w:gridCol w:w="90"/>
        <w:gridCol w:w="90"/>
        <w:gridCol w:w="128"/>
        <w:gridCol w:w="1182"/>
        <w:gridCol w:w="90"/>
        <w:gridCol w:w="90"/>
        <w:gridCol w:w="1505"/>
        <w:gridCol w:w="90"/>
        <w:gridCol w:w="395"/>
        <w:gridCol w:w="1094"/>
        <w:gridCol w:w="13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center"/>
              <w:rPr/>
            </w:pPr>
            <w:r>
              <w:rPr/>
              <w:t> </w:t>
            </w:r>
          </w:p>
        </w:tc>
      </w:tr>
      <w:tr>
        <w:trPr/>
        <w:tc>
          <w:tcPr>
            <w:tcW w:w="2480" w:type="dxa"/>
            <w:tcBorders>
              <w:bottom w:val="single" w:sz="12" w:space="0" w:color="000000"/>
            </w:tcBorders>
            <w:tcMar>
              <w:bottom w:w="28" w:type="dxa"/>
            </w:tcMar>
            <w:vAlign w:val="center"/>
          </w:tcPr>
          <w:p>
            <w:pPr>
              <w:pStyle w:val="TableContents"/>
              <w:bidi w:val="0"/>
              <w:spacing w:before="0" w:after="283"/>
              <w:jc w:val="left"/>
              <w:rPr>
                <w:b/>
              </w:rPr>
            </w:pPr>
            <w:r>
              <w:rPr>
                <w:b/>
              </w:rPr>
              <w:t>Range of Exercise Price</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12" w:space="0" w:color="000000"/>
            </w:tcBorders>
            <w:tcMar>
              <w:bottom w:w="28" w:type="dxa"/>
            </w:tcMar>
            <w:vAlign w:val="center"/>
          </w:tcPr>
          <w:p>
            <w:pPr>
              <w:pStyle w:val="TableContents"/>
              <w:bidi w:val="0"/>
              <w:spacing w:before="0" w:after="283"/>
              <w:jc w:val="center"/>
              <w:rPr>
                <w:b/>
              </w:rPr>
            </w:pPr>
            <w:r>
              <w:rPr>
                <w:b/>
              </w:rPr>
              <w:t>Wtd.Avg, Life</w:t>
            </w:r>
          </w:p>
        </w:tc>
        <w:tc>
          <w:tcPr>
            <w:tcW w:w="9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Price</w:t>
            </w:r>
          </w:p>
        </w:tc>
        <w:tc>
          <w:tcPr>
            <w:tcW w:w="135" w:type="dxa"/>
            <w:tcBorders/>
            <w:vAlign w:val="center"/>
          </w:tcPr>
          <w:p>
            <w:pPr>
              <w:pStyle w:val="TableContents"/>
              <w:bidi w:val="0"/>
              <w:spacing w:before="0" w:after="283"/>
              <w:jc w:val="center"/>
              <w:rPr/>
            </w:pPr>
            <w:r>
              <w:rPr/>
              <w:t> </w:t>
            </w:r>
          </w:p>
        </w:tc>
      </w:tr>
      <w:tr>
        <w:trPr/>
        <w:tc>
          <w:tcPr>
            <w:tcW w:w="2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$3.00 - $23.80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28" w:type="dxa"/>
            <w:tcBorders/>
            <w:shd w:fill="CCEEFF" w:val="clear"/>
            <w:vAlign w:val="center"/>
          </w:tcPr>
          <w:p>
            <w:pPr>
              <w:pStyle w:val="TableContents"/>
              <w:bidi w:val="0"/>
              <w:spacing w:before="0" w:after="283"/>
              <w:jc w:val="both"/>
              <w:rPr/>
            </w:pPr>
            <w:r>
              <w:rPr/>
              <w:t> </w:t>
            </w:r>
          </w:p>
        </w:tc>
        <w:tc>
          <w:tcPr>
            <w:tcW w:w="1182" w:type="dxa"/>
            <w:tcBorders/>
            <w:shd w:fill="CCEEFF" w:val="clear"/>
            <w:vAlign w:val="center"/>
          </w:tcPr>
          <w:p>
            <w:pPr>
              <w:pStyle w:val="TableContents"/>
              <w:bidi w:val="0"/>
              <w:spacing w:before="0" w:after="283"/>
              <w:jc w:val="right"/>
              <w:rPr/>
            </w:pPr>
            <w:r>
              <w:rPr/>
              <w:t>425,703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505" w:type="dxa"/>
            <w:tcBorders/>
            <w:shd w:fill="CCEEFF" w:val="clear"/>
            <w:vAlign w:val="center"/>
          </w:tcPr>
          <w:p>
            <w:pPr>
              <w:pStyle w:val="TableContents"/>
              <w:bidi w:val="0"/>
              <w:spacing w:before="0" w:after="283"/>
              <w:jc w:val="center"/>
              <w:rPr/>
            </w:pPr>
            <w:r>
              <w:rPr/>
              <w:t>2.5 Years</w:t>
            </w:r>
          </w:p>
        </w:tc>
        <w:tc>
          <w:tcPr>
            <w:tcW w:w="90" w:type="dxa"/>
            <w:tcBorders/>
            <w:shd w:fill="CCEEFF" w:val="clear"/>
            <w:vAlign w:val="center"/>
          </w:tcPr>
          <w:p>
            <w:pPr>
              <w:pStyle w:val="TableContents"/>
              <w:bidi w:val="0"/>
              <w:spacing w:before="0" w:after="283"/>
              <w:jc w:val="both"/>
              <w:rPr/>
            </w:pPr>
            <w:r>
              <w:rPr/>
              <w:t> </w:t>
            </w:r>
          </w:p>
        </w:tc>
        <w:tc>
          <w:tcPr>
            <w:tcW w:w="395" w:type="dxa"/>
            <w:tcBorders/>
            <w:shd w:fill="CCEEFF" w:val="clear"/>
            <w:vAlign w:val="center"/>
          </w:tcPr>
          <w:p>
            <w:pPr>
              <w:pStyle w:val="TableContents"/>
              <w:bidi w:val="0"/>
              <w:spacing w:before="0" w:after="283"/>
              <w:jc w:val="both"/>
              <w:rPr/>
            </w:pPr>
            <w:r>
              <w:rPr/>
              <w:t>$</w:t>
            </w:r>
          </w:p>
        </w:tc>
        <w:tc>
          <w:tcPr>
            <w:tcW w:w="1094" w:type="dxa"/>
            <w:tcBorders/>
            <w:shd w:fill="CCEEFF" w:val="clear"/>
            <w:vAlign w:val="center"/>
          </w:tcPr>
          <w:p>
            <w:pPr>
              <w:pStyle w:val="TableContents"/>
              <w:bidi w:val="0"/>
              <w:spacing w:before="0" w:after="283"/>
              <w:jc w:val="right"/>
              <w:rPr/>
            </w:pPr>
            <w:r>
              <w:rPr/>
              <w:t>6.01</w:t>
            </w:r>
          </w:p>
        </w:tc>
        <w:tc>
          <w:tcPr>
            <w:tcW w:w="13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$8,000 of unrecognized compensation cost related to non-vested stock option awards, which is to be recognized over the remaining weighted average vesting period of 0.2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at March 31, 2026 was based on the Company’s closing stock price of $3.23 was $14,000. The aggregate intrinsic value at December 31, 2025 was based on the Company’s closing stock price of $3.07 was approximately $4,000. The aggregate intrinsic value was calculated based on the positive difference between the closing market price of the Company’s Common Stock and the exercise prices of the underlying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granted 243,172 and 0 RSUs to certain employees and directors. These RSUs vested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RSUs as of March 31, 2026, is presented below.</w:t>
      </w:r>
    </w:p>
    <w:p>
      <w:pPr>
        <w:pStyle w:val="TextBody"/>
        <w:bidi w:val="0"/>
        <w:spacing w:before="0" w:after="0"/>
        <w:ind w:left="0" w:right="0" w:hanging="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4415"/>
        <w:gridCol w:w="90"/>
        <w:gridCol w:w="104"/>
        <w:gridCol w:w="1055"/>
        <w:gridCol w:w="125"/>
        <w:gridCol w:w="90"/>
        <w:gridCol w:w="451"/>
        <w:gridCol w:w="1248"/>
        <w:gridCol w:w="135"/>
      </w:tblGrid>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center"/>
              <w:rPr>
                <w:b/>
              </w:rPr>
            </w:pPr>
            <w:r>
              <w:rPr>
                <w:b/>
              </w:rPr>
              <w:t>Grant Date Fair</w:t>
            </w:r>
          </w:p>
        </w:tc>
        <w:tc>
          <w:tcPr>
            <w:tcW w:w="13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 per</w:t>
              <w:br/>
              <w:t>Unit</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Unvested units as of January 1, 2025</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282,628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Granted during the period</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Vested during the period</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(95,210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Forfeited during the period</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Unvested Units as of December 31, 2025</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188,418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Granted during the period</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243,172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3.19</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Vested during the period but shares not issued</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(243,172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3.19</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Forfeited during the period</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8"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Unvested Units as of March 31, 2026</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188,418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8"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Vested as of March 31, 2026</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338,382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4.00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of $923,000 and $417,000 for the three months ended March 31, 2026 and 2025, respectively, in its condensed consolidated statements of operations, and such amounts were included as a component of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$226,000 of unrecognized compensation cost related to non-vested RSUs, which is to be recognized over the remaining weighted average vesting period of 1.0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In consultation with legal counsel, there are no proceedings in which any of the Company’s directors, officers or affiliates, or any registered or beneficial stockholder of its common stock, is an adverse party or has a material interest adverse to our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no income tax expense for the three months ended March 31, 2026 and 2025 because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provided a full valuation allowance against its net deferred tax assets since the Company believes it is more likely than not that its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one operating segment. The Company’s Chief Operating Decision Maker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expenses that are regularly provided to the CODM are disclosed in the consolidated statements of operations as a part of the condensed consolidated net income (loss). See the condensed consolidated financial statements for all financial information regarding the Company’s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revenues of the Company are earned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tangible assets, as well as the Company’s operating lease right-of use assets recognized on the Condensed Consolidated Balance Sheets were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MERGER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the Company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its wholly owned subsidiary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entered into an Agreement and Plan of Merger (the “Merger Agreement”) with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Upon consummation of the merger contemplated by the Merger Agreement (the “Merger”), Tenax will become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will issue shares of its common stock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to the holders of the membership interests of Tenax (the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 at the closing of the Merger. A portion of the Merger Consideration allocated in respect of membership interests of Tenax underlying certain Tenax warrants that remain unexercised as of the closing, if any, will be reserved by the Company for future issuance upon the exercise of such warrants. The number of shares of the Company’s common stock to be issued to the Tenax Members will be adjusted based on a calculation of AIR Net Indebtedness (as defined in the Merger Agreement). Based on the amount of AIR Net Indebtedness as of March 31, 2026, the calculation would result in the issuance of approximately 122.6 million shares of the Company’s common stock. Consequently, based upon the calculation of the Merger Consideration as of March 31, 2026, following the closing of the Merger, the Tenax Members will collectively own approximately 96% of the outstanding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p_004"/>
      <w:bookmarkEnd w:id="11"/>
      <w:r>
        <w:rPr>
          <w:rFonts w:ascii="Times New Roman;Times;Serif" w:hAnsi="Times New Roman;Times;Serif"/>
          <w:b/>
          <w:i w:val="false"/>
          <w:caps w:val="false"/>
          <w:smallCaps w:val="false"/>
          <w:sz w:val="20"/>
        </w:rPr>
        <w:t>ITEM 2. MANAGEMENT’S DISCUSSION AND ANALYSIS OF FINANCIAL CONDITION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should be read in conjunction with the unaudited condensed consolidated financial statements and notes to those statements included elsewhere in this Form 10-Q and with the audited consolidated financial statements and the notes thereto included in our Annual Report on Form 10-K, for the year ended December 31, 2025 (the “2025 Form 10-K”). This discussion contains forward-looking statements that involve risks and uncertainties. You should specifically consider the various risk factors identified in this report and our 2025 Form 10-K that could cause actual results to differ materially from those anticipated in these forward-looking statements. Further, although we believe we will not face a material increase in the price of raw materials due to tariffs that may be imposed, ongoing geopolitical conflicts could adversely impact our ability to manufacture our products, the markets for some of our products, and our ability to access debt or equity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the leading manufacturers of precision components and assemblies for large aerospace and defense contractors. Our rich history dates to 1941, producing parts for World War II fighter aircraft. Since then, we have maintained an impeccable record with no known incidents of part failure leading to a fatal mission. We became a public company in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include landing gear, flight controls, engine mounts and components for aircraft jet engines and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net sales are concentrated amongst a number of defense and aerospace prime contractors, we have cultivated long-standing relationships with a number of their subsidiaries and/or business units. Additionally, our net sales are generated across several high-profile platforms and programs including: the F-18 Hornet, the E-2 Hawkeye, the UH-60 Black Hawk Helicopters, Geared Turbo-Fan (“GTF”) Engines (used on smaller aircraft such as the Airbus A220 and Embraer E2), the CH-53 Helicopter, the F-35 Lighting II and the F-15 Eagle Tactical Fighter. In many cases, we are the sole or single supplier of certain parts and components and receive LTAs from our customers, both demonstrating their commitment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a new contract award is highly competitive. Our ability to win new contract awards generally requires us to deliver superior quality products, more quickly and with lower pricing than our competitors. Accordingly, we must continually invest in process improvements and capital equipment. Recent investments in new equipment have improved the productive capacity of our employees, increased our efficiency and speed, and expanded the size of products we can manufacture. We strategically operate two state-of-the-art manufacturing centers in the U.S. This allows for rigorous oversight of production and the adherence to stringent quality standards. Although there is currently a shortage of skilled workers, we maintain a highly trained and close- knit team of over 160 professionals committed to driving excellence and precision in every aspect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period-to-period net sales and operating results are significantly impacted by timing. In addition, our gross profit is affected by a variety of factors, including the mix and complexity of products, production efficiencies, price competition and general business operating environments. In some cases, our gross profit is impacted by our ability to deliver replacement parts on short notice. Our operations have a large percentage of fixed factory overhead. As a result, our profit margins are highly variable with sales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past several years, despite facing significant financial and operational challenges, we have strategically invested substantial amounts in new capital equipment, tooling, and processes to bolster our competitive position. Additionally, we expanded our sales and marketing efforts, with a sharp focus on expanding relationships with existing customers and cultivating new ones. Looking forward for the rest of fiscal 2026, we are focused on securing new contract awards, improving operations and successful completion of the Merger Agreement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total unfilled contract values amounting to $269.2 million (including our $134.7 million in backlog and all potential orders against LTA agreements previously awarded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we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our wholly owned subsidiary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entered into an Agreement and Plan of Merger (the “Merger Agreement”) with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Upon consummation of the merger contemplated by the Merger Agreement (the “Merger”), Tenax will become a wholly owned subsidiary of AIR. Tenax is a leading provider of special mission aviation solutions that combine aircraft sourcing, financing and modification with aviation services including pilots, maintenance and other types of program support. Additionally, they have long standing relationships with key government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we will issue shares of our common stock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to the holders of the membership interests of Tenax (the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 at the closing of the merger. A portion of the Merger Consideration allocated in respect of membership interests of Tenax underlying certain Tenax warrants that remain unexercised as of the closing, if any, will be reserved by us for future issuance upon the exercise of such warrants. The number of shares of our common stock to be issued to the Tenax Members will be adjusted based on a calculation of AIR Net Indebtedness (as defined in the Merger Agreement). Based on the amount of Air Net Indebtedness as of March 31, 2026, the calculation would result in the issuance of approximately 122.6 million shares of AIR common stock. Consequently, based upon the calculation of the Merger Consideration as of March 31, 2026, following the closing of the Merger, the Tenax Members will collectively own approximately 96% of the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the Merger Agreement, transactions to be consummated, actions to be taken and agreements entered into or to be entered in connection therewith, reference is made to the Current Report on Form 8-K filed February 17, 2026 and the full text of the Merger Agreement and the documents that are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AIR or Tenax’s business a material adverse event,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specifically noted, the discussion of our business, operations, management team and financial results contained herein, gives no effect to changes that would occur as a result of or subsequent to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Financial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8"/>
        <w:gridCol w:w="90"/>
        <w:gridCol w:w="196"/>
        <w:gridCol w:w="1309"/>
        <w:gridCol w:w="125"/>
        <w:gridCol w:w="90"/>
        <w:gridCol w:w="155"/>
        <w:gridCol w:w="1023"/>
        <w:gridCol w:w="245"/>
        <w:gridCol w:w="90"/>
        <w:gridCol w:w="196"/>
        <w:gridCol w:w="1309"/>
        <w:gridCol w:w="125"/>
        <w:gridCol w:w="90"/>
        <w:gridCol w:w="156"/>
        <w:gridCol w:w="1028"/>
        <w:gridCol w:w="245"/>
        <w:gridCol w:w="90"/>
        <w:gridCol w:w="170"/>
        <w:gridCol w:w="1085"/>
        <w:gridCol w:w="125"/>
        <w:gridCol w:w="90"/>
        <w:gridCol w:w="100"/>
        <w:gridCol w:w="751"/>
        <w:gridCol w:w="294"/>
      </w:tblGrid>
      <w:tr>
        <w:trPr/>
        <w:tc>
          <w:tcPr>
            <w:tcW w:w="10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Ending </w:t>
              <w:br/>
              <w:t xml:space="preserve">March 31,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 xml:space="preserve">Percentage of </w:t>
              <w:br/>
              <w:t>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Ending </w:t>
              <w:br/>
              <w:t xml:space="preserve">March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2025 Percentage of </w:t>
              <w:br/>
              <w:t>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br/>
              <w:t>2026 vs</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br/>
              <w:t xml:space="preserve">Change 2026 </w:t>
              <w:br/>
              <w:t>vs 2025</w:t>
            </w:r>
          </w:p>
        </w:tc>
        <w:tc>
          <w:tcPr>
            <w:tcW w:w="294" w:type="dxa"/>
            <w:tcBorders/>
            <w:vAlign w:val="center"/>
          </w:tcPr>
          <w:p>
            <w:pPr>
              <w:pStyle w:val="TableContents"/>
              <w:bidi w:val="0"/>
              <w:spacing w:before="0" w:after="283"/>
              <w:jc w:val="left"/>
              <w:rPr/>
            </w:pPr>
            <w:r>
              <w:rPr/>
              <w:t> </w:t>
            </w:r>
          </w:p>
        </w:tc>
      </w:tr>
      <w:tr>
        <w:trPr/>
        <w:tc>
          <w:tcPr>
            <w:tcW w:w="1028"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11,606,000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12,135,000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(529,000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-4.36</w:t>
            </w:r>
          </w:p>
        </w:tc>
        <w:tc>
          <w:tcPr>
            <w:tcW w:w="294" w:type="dxa"/>
            <w:tcBorders/>
            <w:shd w:fill="CCEEFF" w:val="clear"/>
            <w:vAlign w:val="center"/>
          </w:tcPr>
          <w:p>
            <w:pPr>
              <w:pStyle w:val="TableContents"/>
              <w:bidi w:val="0"/>
              <w:spacing w:before="0" w:after="283"/>
              <w:jc w:val="left"/>
              <w:rPr/>
            </w:pPr>
            <w:r>
              <w:rPr/>
              <w:t>%</w:t>
            </w:r>
          </w:p>
        </w:tc>
      </w:tr>
      <w:tr>
        <w:trPr/>
        <w:tc>
          <w:tcPr>
            <w:tcW w:w="1028"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tcMar>
              <w:bottom w:w="28" w:type="dxa"/>
            </w:tcMar>
            <w:vAlign w:val="center"/>
          </w:tcPr>
          <w:p>
            <w:pPr>
              <w:pStyle w:val="TableContents"/>
              <w:bidi w:val="0"/>
              <w:spacing w:before="0" w:after="283"/>
              <w:jc w:val="right"/>
              <w:rPr/>
            </w:pPr>
            <w:r>
              <w:rPr/>
              <w:t>9,004,000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tcMar>
              <w:bottom w:w="28" w:type="dxa"/>
            </w:tcMar>
            <w:vAlign w:val="center"/>
          </w:tcPr>
          <w:p>
            <w:pPr>
              <w:pStyle w:val="TableContents"/>
              <w:bidi w:val="0"/>
              <w:spacing w:before="0" w:after="283"/>
              <w:jc w:val="right"/>
              <w:rPr/>
            </w:pPr>
            <w:r>
              <w:rPr/>
              <w:t>77.6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tcMar>
              <w:bottom w:w="28" w:type="dxa"/>
            </w:tcMar>
            <w:vAlign w:val="center"/>
          </w:tcPr>
          <w:p>
            <w:pPr>
              <w:pStyle w:val="TableContents"/>
              <w:bidi w:val="0"/>
              <w:spacing w:before="0" w:after="283"/>
              <w:jc w:val="right"/>
              <w:rPr/>
            </w:pPr>
            <w:r>
              <w:rPr/>
              <w:t>10,101,000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83.2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(1,097,000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tcMar>
              <w:bottom w:w="28" w:type="dxa"/>
            </w:tcMar>
            <w:vAlign w:val="center"/>
          </w:tcPr>
          <w:p>
            <w:pPr>
              <w:pStyle w:val="TableContents"/>
              <w:bidi w:val="0"/>
              <w:spacing w:before="0" w:after="283"/>
              <w:jc w:val="right"/>
              <w:rPr/>
            </w:pPr>
            <w:r>
              <w:rPr/>
              <w:t>-10.86</w:t>
            </w:r>
          </w:p>
        </w:tc>
        <w:tc>
          <w:tcPr>
            <w:tcW w:w="294" w:type="dxa"/>
            <w:tcBorders/>
            <w:vAlign w:val="center"/>
          </w:tcPr>
          <w:p>
            <w:pPr>
              <w:pStyle w:val="TableContents"/>
              <w:bidi w:val="0"/>
              <w:spacing w:before="0" w:after="283"/>
              <w:jc w:val="left"/>
              <w:rPr/>
            </w:pPr>
            <w:r>
              <w:rPr/>
              <w:t>%</w:t>
            </w:r>
          </w:p>
        </w:tc>
      </w:tr>
      <w:tr>
        <w:trPr/>
        <w:tc>
          <w:tcPr>
            <w:tcW w:w="1028"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2,602,000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2,034,000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27.93</w:t>
            </w:r>
          </w:p>
        </w:tc>
        <w:tc>
          <w:tcPr>
            <w:tcW w:w="294" w:type="dxa"/>
            <w:tcBorders/>
            <w:shd w:fill="CCEEFF" w:val="clear"/>
            <w:vAlign w:val="center"/>
          </w:tcPr>
          <w:p>
            <w:pPr>
              <w:pStyle w:val="TableContents"/>
              <w:bidi w:val="0"/>
              <w:spacing w:before="0" w:after="283"/>
              <w:jc w:val="left"/>
              <w:rPr/>
            </w:pPr>
            <w:r>
              <w:rPr/>
              <w:t>%</w:t>
            </w:r>
          </w:p>
        </w:tc>
      </w:tr>
      <w:tr>
        <w:trPr/>
        <w:tc>
          <w:tcPr>
            <w:tcW w:w="1028"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3,167,000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27.3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2,780,000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22.9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387,000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13.92</w:t>
            </w:r>
          </w:p>
        </w:tc>
        <w:tc>
          <w:tcPr>
            <w:tcW w:w="294" w:type="dxa"/>
            <w:tcBorders/>
            <w:vAlign w:val="center"/>
          </w:tcPr>
          <w:p>
            <w:pPr>
              <w:pStyle w:val="TableContents"/>
              <w:bidi w:val="0"/>
              <w:spacing w:before="0" w:after="283"/>
              <w:jc w:val="left"/>
              <w:rPr/>
            </w:pPr>
            <w:r>
              <w:rPr/>
              <w:t>%</w:t>
            </w:r>
          </w:p>
        </w:tc>
      </w:tr>
      <w:tr>
        <w:trPr/>
        <w:tc>
          <w:tcPr>
            <w:tcW w:w="1028"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494,000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11.26</w:t>
            </w:r>
          </w:p>
        </w:tc>
        <w:tc>
          <w:tcPr>
            <w:tcW w:w="294" w:type="dxa"/>
            <w:tcBorders/>
            <w:shd w:fill="CCEEFF" w:val="clear"/>
            <w:vAlign w:val="center"/>
          </w:tcPr>
          <w:p>
            <w:pPr>
              <w:pStyle w:val="TableContents"/>
              <w:bidi w:val="0"/>
              <w:spacing w:before="0" w:after="283"/>
              <w:jc w:val="left"/>
              <w:rPr/>
            </w:pPr>
            <w:r>
              <w:rPr/>
              <w:t>%</w:t>
            </w:r>
          </w:p>
        </w:tc>
      </w:tr>
      <w:tr>
        <w:trPr/>
        <w:tc>
          <w:tcPr>
            <w:tcW w:w="1028"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39,000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0.3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202,000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(163,000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-80.69</w:t>
            </w:r>
          </w:p>
        </w:tc>
        <w:tc>
          <w:tcPr>
            <w:tcW w:w="294" w:type="dxa"/>
            <w:tcBorders/>
            <w:vAlign w:val="center"/>
          </w:tcPr>
          <w:p>
            <w:pPr>
              <w:pStyle w:val="TableContents"/>
              <w:bidi w:val="0"/>
              <w:spacing w:before="0" w:after="283"/>
              <w:jc w:val="left"/>
              <w:rPr/>
            </w:pPr>
            <w:r>
              <w:rPr/>
              <w:t>%</w:t>
            </w:r>
          </w:p>
        </w:tc>
      </w:tr>
      <w:tr>
        <w:trPr/>
        <w:tc>
          <w:tcPr>
            <w:tcW w:w="1028"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1028"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96" w:type="dxa"/>
            <w:tcBorders>
              <w:bottom w:val="double" w:sz="10" w:space="0" w:color="000000"/>
            </w:tcBorders>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tcMar>
              <w:bottom w:w="28" w:type="dxa"/>
            </w:tcMar>
            <w:vAlign w:val="center"/>
          </w:tcPr>
          <w:p>
            <w:pPr>
              <w:pStyle w:val="TableContents"/>
              <w:bidi w:val="0"/>
              <w:spacing w:before="0" w:after="283"/>
              <w:jc w:val="right"/>
              <w:rPr/>
            </w:pPr>
            <w:r>
              <w:rPr/>
              <w:t>(1,020,000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tcMar>
              <w:bottom w:w="28" w:type="dxa"/>
            </w:tcMar>
            <w:vAlign w:val="center"/>
          </w:tcPr>
          <w:p>
            <w:pPr>
              <w:pStyle w:val="TableContents"/>
              <w:bidi w:val="0"/>
              <w:spacing w:before="0" w:after="283"/>
              <w:jc w:val="right"/>
              <w:rPr/>
            </w:pPr>
            <w:r>
              <w:rPr/>
              <w:t>-8.8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bottom w:val="double" w:sz="10" w:space="0" w:color="000000"/>
            </w:tcBorders>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tcMar>
              <w:bottom w:w="28" w:type="dxa"/>
            </w:tcMar>
            <w:vAlign w:val="center"/>
          </w:tcPr>
          <w:p>
            <w:pPr>
              <w:pStyle w:val="TableContents"/>
              <w:bidi w:val="0"/>
              <w:spacing w:before="0" w:after="283"/>
              <w:jc w:val="right"/>
              <w:rPr/>
            </w:pPr>
            <w:r>
              <w:rPr/>
              <w:t>(988,000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8" w:type="dxa"/>
            <w:tcBorders>
              <w:bottom w:val="double" w:sz="10" w:space="0" w:color="000000"/>
            </w:tcBorders>
            <w:tcMar>
              <w:bottom w:w="28" w:type="dxa"/>
            </w:tcMar>
            <w:vAlign w:val="center"/>
          </w:tcPr>
          <w:p>
            <w:pPr>
              <w:pStyle w:val="TableContents"/>
              <w:bidi w:val="0"/>
              <w:spacing w:before="0" w:after="283"/>
              <w:jc w:val="right"/>
              <w:rPr/>
            </w:pPr>
            <w:r>
              <w:rPr/>
              <w:t>-8.1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(32,000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1" w:type="dxa"/>
            <w:tcBorders>
              <w:bottom w:val="double" w:sz="10" w:space="0" w:color="000000"/>
            </w:tcBorders>
            <w:tcMar>
              <w:bottom w:w="28" w:type="dxa"/>
            </w:tcMar>
            <w:vAlign w:val="center"/>
          </w:tcPr>
          <w:p>
            <w:pPr>
              <w:pStyle w:val="TableContents"/>
              <w:bidi w:val="0"/>
              <w:spacing w:before="0" w:after="283"/>
              <w:jc w:val="right"/>
              <w:rPr/>
            </w:pPr>
            <w:r>
              <w:rPr/>
              <w:t>3.24</w:t>
            </w:r>
          </w:p>
        </w:tc>
        <w:tc>
          <w:tcPr>
            <w:tcW w:w="294"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Data:</w:t>
      </w:r>
    </w:p>
    <w:p>
      <w:pPr>
        <w:pStyle w:val="TextBody"/>
        <w:bidi w:val="0"/>
        <w:spacing w:before="0" w:after="0"/>
        <w:ind w:left="0" w:right="0" w:hanging="0"/>
        <w:jc w:val="center"/>
        <w:rPr>
          <w:caps w:val="false"/>
          <w:smallCaps w:val="false"/>
        </w:rPr>
      </w:pPr>
      <w:r>
        <w:rPr>
          <w:caps w:val="false"/>
          <w:smallCaps w:val="false"/>
        </w:rPr>
        <w:t> </w:t>
      </w:r>
    </w:p>
    <w:tbl>
      <w:tblPr>
        <w:tblW w:w="9023" w:type="dxa"/>
        <w:jc w:val="left"/>
        <w:tblInd w:w="0" w:type="dxa"/>
        <w:tblLayout w:type="fixed"/>
        <w:tblCellMar>
          <w:top w:w="0" w:type="dxa"/>
          <w:left w:w="0" w:type="dxa"/>
          <w:bottom w:w="0" w:type="dxa"/>
          <w:right w:w="0" w:type="dxa"/>
        </w:tblCellMar>
      </w:tblPr>
      <w:tblGrid>
        <w:gridCol w:w="2525"/>
        <w:gridCol w:w="90"/>
        <w:gridCol w:w="214"/>
        <w:gridCol w:w="1425"/>
        <w:gridCol w:w="90"/>
        <w:gridCol w:w="90"/>
        <w:gridCol w:w="259"/>
        <w:gridCol w:w="1725"/>
        <w:gridCol w:w="90"/>
        <w:gridCol w:w="90"/>
        <w:gridCol w:w="170"/>
        <w:gridCol w:w="905"/>
        <w:gridCol w:w="125"/>
        <w:gridCol w:w="90"/>
        <w:gridCol w:w="100"/>
        <w:gridCol w:w="745"/>
        <w:gridCol w:w="290"/>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br/>
              <w:t>Change</w:t>
            </w:r>
          </w:p>
        </w:tc>
        <w:tc>
          <w:tcPr>
            <w:tcW w:w="29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286,000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725" w:type="dxa"/>
            <w:tcBorders/>
            <w:shd w:fill="CCEEFF" w:val="clear"/>
            <w:vAlign w:val="center"/>
          </w:tcPr>
          <w:p>
            <w:pPr>
              <w:pStyle w:val="TableContents"/>
              <w:bidi w:val="0"/>
              <w:spacing w:before="0" w:after="283"/>
              <w:jc w:val="right"/>
              <w:rPr/>
            </w:pPr>
            <w:r>
              <w:rPr/>
              <w:t>680,000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(394,000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-57.94</w:t>
            </w:r>
          </w:p>
        </w:tc>
        <w:tc>
          <w:tcPr>
            <w:tcW w:w="290" w:type="dxa"/>
            <w:tcBorders/>
            <w:shd w:fill="CCEEFF" w:val="clear"/>
            <w:vAlign w:val="center"/>
          </w:tcPr>
          <w:p>
            <w:pPr>
              <w:pStyle w:val="TableContents"/>
              <w:bidi w:val="0"/>
              <w:spacing w:before="0" w:after="283"/>
              <w:jc w:val="left"/>
              <w:rPr/>
            </w:pPr>
            <w:r>
              <w:rPr/>
              <w:t>%</w:t>
            </w:r>
          </w:p>
        </w:tc>
      </w:tr>
      <w:tr>
        <w:trPr/>
        <w:tc>
          <w:tcPr>
            <w:tcW w:w="2525" w:type="dxa"/>
            <w:tcBorders/>
            <w:vAlign w:val="center"/>
          </w:tcPr>
          <w:p>
            <w:pPr>
              <w:pStyle w:val="TableContents"/>
              <w:bidi w:val="0"/>
              <w:spacing w:before="0" w:after="283"/>
              <w:jc w:val="left"/>
              <w:rPr/>
            </w:pPr>
            <w:r>
              <w:rPr/>
              <w:t>Working capital</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425" w:type="dxa"/>
            <w:tcBorders/>
            <w:vAlign w:val="center"/>
          </w:tcPr>
          <w:p>
            <w:pPr>
              <w:pStyle w:val="TableContents"/>
              <w:bidi w:val="0"/>
              <w:spacing w:before="0" w:after="283"/>
              <w:jc w:val="right"/>
              <w:rPr/>
            </w:pPr>
            <w:r>
              <w:rPr/>
              <w:t>5,659,000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725" w:type="dxa"/>
            <w:tcBorders/>
            <w:vAlign w:val="center"/>
          </w:tcPr>
          <w:p>
            <w:pPr>
              <w:pStyle w:val="TableContents"/>
              <w:bidi w:val="0"/>
              <w:spacing w:before="0" w:after="283"/>
              <w:jc w:val="right"/>
              <w:rPr/>
            </w:pPr>
            <w:r>
              <w:rPr/>
              <w:t>5,238,000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421,000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8.04</w:t>
            </w:r>
          </w:p>
        </w:tc>
        <w:tc>
          <w:tcPr>
            <w:tcW w:w="290" w:type="dxa"/>
            <w:tcBorders/>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59,216,000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725" w:type="dxa"/>
            <w:tcBorders/>
            <w:shd w:fill="CCEEFF" w:val="clear"/>
            <w:vAlign w:val="center"/>
          </w:tcPr>
          <w:p>
            <w:pPr>
              <w:pStyle w:val="TableContents"/>
              <w:bidi w:val="0"/>
              <w:spacing w:before="0" w:after="283"/>
              <w:jc w:val="right"/>
              <w:rPr/>
            </w:pPr>
            <w:r>
              <w:rPr/>
              <w:t>58,329,000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887,000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1.52</w:t>
            </w:r>
          </w:p>
        </w:tc>
        <w:tc>
          <w:tcPr>
            <w:tcW w:w="290" w:type="dxa"/>
            <w:tcBorders/>
            <w:shd w:fill="CCEEFF" w:val="clear"/>
            <w:vAlign w:val="center"/>
          </w:tcPr>
          <w:p>
            <w:pPr>
              <w:pStyle w:val="TableContents"/>
              <w:bidi w:val="0"/>
              <w:spacing w:before="0" w:after="283"/>
              <w:jc w:val="left"/>
              <w:rPr/>
            </w:pPr>
            <w:r>
              <w:rPr/>
              <w:t>%</w:t>
            </w:r>
          </w:p>
        </w:tc>
      </w:tr>
      <w:tr>
        <w:trPr/>
        <w:tc>
          <w:tcPr>
            <w:tcW w:w="2525"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425" w:type="dxa"/>
            <w:tcBorders/>
            <w:vAlign w:val="center"/>
          </w:tcPr>
          <w:p>
            <w:pPr>
              <w:pStyle w:val="TableContents"/>
              <w:bidi w:val="0"/>
              <w:spacing w:before="0" w:after="283"/>
              <w:jc w:val="right"/>
              <w:rPr/>
            </w:pPr>
            <w:r>
              <w:rPr/>
              <w:t>19,145,000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725" w:type="dxa"/>
            <w:tcBorders/>
            <w:vAlign w:val="center"/>
          </w:tcPr>
          <w:p>
            <w:pPr>
              <w:pStyle w:val="TableContents"/>
              <w:bidi w:val="0"/>
              <w:spacing w:before="0" w:after="283"/>
              <w:jc w:val="right"/>
              <w:rPr/>
            </w:pPr>
            <w:r>
              <w:rPr/>
              <w:t>19,201,000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(56,000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-0.29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Net Sales: </w:t>
      </w:r>
      <w:r>
        <w:rPr>
          <w:rFonts w:ascii="Times New Roman;Times;Serif" w:hAnsi="Times New Roman;Times;Serif"/>
          <w:b w:val="false"/>
          <w:i w:val="false"/>
          <w:caps w:val="false"/>
          <w:smallCaps w:val="false"/>
          <w:sz w:val="20"/>
        </w:rPr>
        <w:t>Net sales for the three months ended March 31, 2026 were $11,606,000, a decrease of $529,000, or 4.4%, compared with $12,135,000 that we achieved in the three months ended March 31, 2025. The period-over-period decrease in net sales was primarily due to overall changes in the mix of products requested by customers, which are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our net sales for the three months ended March 31, 2026 and 2025 are shown below:</w:t>
      </w:r>
    </w:p>
    <w:p>
      <w:pPr>
        <w:pStyle w:val="TextBody"/>
        <w:bidi w:val="0"/>
        <w:spacing w:before="0" w:after="0"/>
        <w:ind w:left="0" w:right="0" w:hanging="0"/>
        <w:jc w:val="both"/>
        <w:rPr>
          <w:caps w:val="false"/>
          <w:smallCaps w:val="false"/>
        </w:rPr>
      </w:pPr>
      <w:r>
        <w:rPr>
          <w:caps w:val="false"/>
          <w:smallCaps w:val="false"/>
        </w:rPr>
        <w:t> </w:t>
      </w:r>
    </w:p>
    <w:tbl>
      <w:tblPr>
        <w:tblW w:w="4496" w:type="dxa"/>
        <w:jc w:val="left"/>
        <w:tblInd w:w="0" w:type="dxa"/>
        <w:tblLayout w:type="fixed"/>
        <w:tblCellMar>
          <w:top w:w="0" w:type="dxa"/>
          <w:left w:w="0" w:type="dxa"/>
          <w:bottom w:w="28" w:type="dxa"/>
          <w:right w:w="0" w:type="dxa"/>
        </w:tblCellMar>
      </w:tblPr>
      <w:tblGrid>
        <w:gridCol w:w="1700"/>
        <w:gridCol w:w="90"/>
        <w:gridCol w:w="149"/>
        <w:gridCol w:w="781"/>
        <w:gridCol w:w="407"/>
        <w:gridCol w:w="149"/>
        <w:gridCol w:w="149"/>
        <w:gridCol w:w="781"/>
        <w:gridCol w:w="290"/>
      </w:tblGrid>
      <w:tr>
        <w:trPr/>
        <w:tc>
          <w:tcPr>
            <w:tcW w:w="1700" w:type="dxa"/>
            <w:tcBorders>
              <w:bottom w:val="single" w:sz="12" w:space="0" w:color="000000"/>
            </w:tcBorders>
            <w:vAlign w:val="center"/>
          </w:tcPr>
          <w:p>
            <w:pPr>
              <w:pStyle w:val="TableContents"/>
              <w:bidi w:val="0"/>
              <w:spacing w:before="0" w:after="283"/>
              <w:jc w:val="left"/>
              <w:rPr>
                <w:b/>
              </w:rPr>
            </w:pPr>
            <w:r>
              <w:rPr>
                <w:b/>
              </w:rPr>
              <w:t>Customer</w:t>
            </w:r>
          </w:p>
        </w:tc>
        <w:tc>
          <w:tcPr>
            <w:tcW w:w="90" w:type="dxa"/>
            <w:tcBorders/>
            <w:tcMar>
              <w:bottom w:w="0" w:type="dxa"/>
            </w:tcMar>
            <w:vAlign w:val="center"/>
          </w:tcPr>
          <w:p>
            <w:pPr>
              <w:pStyle w:val="TableContents"/>
              <w:bidi w:val="0"/>
              <w:spacing w:before="0" w:after="283"/>
              <w:jc w:val="left"/>
              <w:rPr/>
            </w:pPr>
            <w:r>
              <w:rPr/>
              <w:t> </w:t>
            </w:r>
          </w:p>
        </w:tc>
        <w:tc>
          <w:tcPr>
            <w:tcW w:w="2416" w:type="dxa"/>
            <w:gridSpan w:val="6"/>
            <w:tcBorders>
              <w:bottom w:val="single" w:sz="12" w:space="0" w:color="000000"/>
            </w:tcBorders>
            <w:vAlign w:val="center"/>
          </w:tcPr>
          <w:p>
            <w:pPr>
              <w:pStyle w:val="TableContents"/>
              <w:bidi w:val="0"/>
              <w:spacing w:before="0" w:after="283"/>
              <w:jc w:val="center"/>
              <w:rPr>
                <w:b/>
              </w:rPr>
            </w:pPr>
            <w:r>
              <w:rPr>
                <w:b/>
              </w:rPr>
              <w:t>Percentage of Net Sales</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0" w:type="dxa"/>
            <w:gridSpan w:val="2"/>
            <w:tcBorders>
              <w:bottom w:val="single" w:sz="12" w:space="0" w:color="000000"/>
            </w:tcBorders>
            <w:vAlign w:val="center"/>
          </w:tcPr>
          <w:p>
            <w:pPr>
              <w:pStyle w:val="TableContents"/>
              <w:bidi w:val="0"/>
              <w:spacing w:before="0" w:after="283"/>
              <w:jc w:val="center"/>
              <w:rPr>
                <w:b/>
              </w:rPr>
            </w:pPr>
            <w:r>
              <w:rPr>
                <w:b/>
              </w:rPr>
              <w:t>2026</w:t>
            </w:r>
          </w:p>
        </w:tc>
        <w:tc>
          <w:tcPr>
            <w:tcW w:w="407"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93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90" w:type="dxa"/>
            <w:tcBorders/>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283"/>
              <w:jc w:val="left"/>
              <w:rPr/>
            </w:pPr>
            <w:r>
              <w:rPr/>
              <w:t>Lockheed Martin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34.4</w:t>
            </w:r>
          </w:p>
        </w:tc>
        <w:tc>
          <w:tcPr>
            <w:tcW w:w="407"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39.6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781" w:type="dxa"/>
            <w:tcBorders/>
            <w:tcMar>
              <w:bottom w:w="0" w:type="dxa"/>
            </w:tcMar>
            <w:vAlign w:val="center"/>
          </w:tcPr>
          <w:p>
            <w:pPr>
              <w:pStyle w:val="TableContents"/>
              <w:bidi w:val="0"/>
              <w:spacing w:before="0" w:after="283"/>
              <w:jc w:val="right"/>
              <w:rPr/>
            </w:pPr>
            <w:r>
              <w:rPr/>
              <w:t>28.4</w:t>
            </w:r>
          </w:p>
        </w:tc>
        <w:tc>
          <w:tcPr>
            <w:tcW w:w="407"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781" w:type="dxa"/>
            <w:tcBorders/>
            <w:tcMar>
              <w:bottom w:w="0" w:type="dxa"/>
            </w:tcMar>
            <w:vAlign w:val="center"/>
          </w:tcPr>
          <w:p>
            <w:pPr>
              <w:pStyle w:val="TableContents"/>
              <w:bidi w:val="0"/>
              <w:spacing w:before="0" w:after="283"/>
              <w:jc w:val="right"/>
              <w:rPr/>
            </w:pPr>
            <w:r>
              <w:rPr/>
              <w:t>28.8</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68"/>
        <w:gridCol w:w="26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osition w:val="8"/>
                <w:sz w:val="19"/>
              </w:rPr>
            </w:pPr>
            <w:r>
              <w:rPr>
                <w:position w:val="8"/>
                <w:sz w:val="19"/>
              </w:rPr>
              <w:t>(a)</w:t>
            </w:r>
          </w:p>
        </w:tc>
        <w:tc>
          <w:tcPr>
            <w:tcW w:w="644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net sales by platform or program profiles for the three months ended March 31, 2026 and 2025 are shown below:</w:t>
      </w:r>
    </w:p>
    <w:p>
      <w:pPr>
        <w:pStyle w:val="TextBody"/>
        <w:bidi w:val="0"/>
        <w:spacing w:before="0" w:after="0"/>
        <w:ind w:left="0" w:right="0" w:hanging="0"/>
        <w:jc w:val="left"/>
        <w:rPr>
          <w:caps w:val="false"/>
          <w:smallCaps w:val="false"/>
        </w:rPr>
      </w:pPr>
      <w:r>
        <w:rPr>
          <w:caps w:val="false"/>
          <w:smallCaps w:val="false"/>
        </w:rPr>
        <w:t> </w:t>
      </w:r>
    </w:p>
    <w:tbl>
      <w:tblPr>
        <w:tblW w:w="5847" w:type="dxa"/>
        <w:jc w:val="left"/>
        <w:tblInd w:w="0" w:type="dxa"/>
        <w:tblLayout w:type="fixed"/>
        <w:tblCellMar>
          <w:top w:w="0" w:type="dxa"/>
          <w:left w:w="0" w:type="dxa"/>
          <w:bottom w:w="28" w:type="dxa"/>
          <w:right w:w="0" w:type="dxa"/>
        </w:tblCellMar>
      </w:tblPr>
      <w:tblGrid>
        <w:gridCol w:w="3050"/>
        <w:gridCol w:w="90"/>
        <w:gridCol w:w="128"/>
        <w:gridCol w:w="842"/>
        <w:gridCol w:w="349"/>
        <w:gridCol w:w="128"/>
        <w:gridCol w:w="128"/>
        <w:gridCol w:w="842"/>
        <w:gridCol w:w="290"/>
      </w:tblGrid>
      <w:tr>
        <w:trPr/>
        <w:tc>
          <w:tcPr>
            <w:tcW w:w="3050" w:type="dxa"/>
            <w:tcBorders>
              <w:bottom w:val="single" w:sz="12" w:space="0" w:color="000000"/>
            </w:tcBorders>
            <w:vAlign w:val="center"/>
          </w:tcPr>
          <w:p>
            <w:pPr>
              <w:pStyle w:val="TableContents"/>
              <w:bidi w:val="0"/>
              <w:spacing w:before="0" w:after="283"/>
              <w:jc w:val="left"/>
              <w:rPr>
                <w:b/>
              </w:rPr>
            </w:pPr>
            <w:r>
              <w:rPr>
                <w:b/>
              </w:rPr>
              <w:t>Platform or Program</w:t>
            </w:r>
          </w:p>
        </w:tc>
        <w:tc>
          <w:tcPr>
            <w:tcW w:w="90" w:type="dxa"/>
            <w:tcBorders/>
            <w:tcMar>
              <w:bottom w:w="0" w:type="dxa"/>
            </w:tcMar>
            <w:vAlign w:val="center"/>
          </w:tcPr>
          <w:p>
            <w:pPr>
              <w:pStyle w:val="TableContents"/>
              <w:bidi w:val="0"/>
              <w:spacing w:before="0" w:after="283"/>
              <w:jc w:val="left"/>
              <w:rPr/>
            </w:pPr>
            <w:r>
              <w:rPr/>
              <w:t> </w:t>
            </w:r>
          </w:p>
        </w:tc>
        <w:tc>
          <w:tcPr>
            <w:tcW w:w="2417" w:type="dxa"/>
            <w:gridSpan w:val="6"/>
            <w:tcBorders>
              <w:bottom w:val="single" w:sz="12" w:space="0" w:color="000000"/>
            </w:tcBorders>
            <w:vAlign w:val="center"/>
          </w:tcPr>
          <w:p>
            <w:pPr>
              <w:pStyle w:val="TableContents"/>
              <w:bidi w:val="0"/>
              <w:spacing w:before="0" w:after="283"/>
              <w:jc w:val="center"/>
              <w:rPr>
                <w:b/>
              </w:rPr>
            </w:pPr>
            <w:r>
              <w:rPr>
                <w:b/>
              </w:rPr>
              <w:t>Percentage of Net Sales</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rPr>
            </w:pPr>
            <w:r>
              <w:rPr>
                <w:b/>
              </w:rPr>
              <w:t>2026</w:t>
            </w:r>
          </w:p>
        </w:tc>
        <w:tc>
          <w:tcPr>
            <w:tcW w:w="349"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UH-60 Black Hawk Helicopter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31.2</w:t>
            </w:r>
          </w:p>
        </w:tc>
        <w:tc>
          <w:tcPr>
            <w:tcW w:w="34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28.2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pPr>
            <w:r>
              <w:rPr/>
              <w:t>GTF</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23.4</w:t>
            </w:r>
          </w:p>
        </w:tc>
        <w:tc>
          <w:tcPr>
            <w:tcW w:w="34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24.7</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pPr>
            <w:r>
              <w:rPr/>
              <w:t>CH-53 Helicopter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7.5</w:t>
            </w:r>
          </w:p>
        </w:tc>
        <w:tc>
          <w:tcPr>
            <w:tcW w:w="34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10.2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pPr>
            <w:r>
              <w:rPr/>
              <w:t>E-2D Hawkeye</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6.9</w:t>
            </w:r>
          </w:p>
        </w:tc>
        <w:tc>
          <w:tcPr>
            <w:tcW w:w="34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10.1</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pPr>
            <w:r>
              <w:rPr/>
              <w:t>F-35 Lightning II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5.8</w:t>
            </w:r>
          </w:p>
        </w:tc>
        <w:tc>
          <w:tcPr>
            <w:tcW w:w="34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2.9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pPr>
            <w:r>
              <w:rPr/>
              <w:t>F-18 Hornet</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1.5</w:t>
            </w:r>
          </w:p>
        </w:tc>
        <w:tc>
          <w:tcPr>
            <w:tcW w:w="34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3.1</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pPr>
            <w:r>
              <w:rPr/>
              <w:t>All other platforms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vAlign w:val="center"/>
          </w:tcPr>
          <w:p>
            <w:pPr>
              <w:pStyle w:val="TableContents"/>
              <w:bidi w:val="0"/>
              <w:spacing w:before="0" w:after="283"/>
              <w:jc w:val="right"/>
              <w:rPr/>
            </w:pPr>
            <w:r>
              <w:rPr/>
              <w:t>23.7</w:t>
            </w:r>
          </w:p>
        </w:tc>
        <w:tc>
          <w:tcPr>
            <w:tcW w:w="34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vAlign w:val="center"/>
          </w:tcPr>
          <w:p>
            <w:pPr>
              <w:pStyle w:val="TableContents"/>
              <w:bidi w:val="0"/>
              <w:spacing w:before="0" w:after="283"/>
              <w:jc w:val="right"/>
              <w:rPr/>
            </w:pPr>
            <w:r>
              <w:rPr/>
              <w:t>20.8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28" w:type="dxa"/>
            <w:tcBorders>
              <w:bottom w:val="double" w:sz="10" w:space="0" w:color="000000"/>
            </w:tcBorders>
            <w:vAlign w:val="center"/>
          </w:tcPr>
          <w:p>
            <w:pPr>
              <w:pStyle w:val="TableContents"/>
              <w:bidi w:val="0"/>
              <w:spacing w:before="0" w:after="283"/>
              <w:jc w:val="left"/>
              <w:rPr/>
            </w:pPr>
            <w:r>
              <w:rPr/>
              <w:t> </w:t>
            </w:r>
          </w:p>
        </w:tc>
        <w:tc>
          <w:tcPr>
            <w:tcW w:w="842" w:type="dxa"/>
            <w:tcBorders>
              <w:bottom w:val="double" w:sz="10" w:space="0" w:color="000000"/>
            </w:tcBorders>
            <w:vAlign w:val="center"/>
          </w:tcPr>
          <w:p>
            <w:pPr>
              <w:pStyle w:val="TableContents"/>
              <w:bidi w:val="0"/>
              <w:spacing w:before="0" w:after="283"/>
              <w:jc w:val="right"/>
              <w:rPr/>
            </w:pPr>
            <w:r>
              <w:rPr/>
              <w:t>100.0</w:t>
            </w:r>
          </w:p>
        </w:tc>
        <w:tc>
          <w:tcPr>
            <w:tcW w:w="34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bottom w:val="double" w:sz="10" w:space="0" w:color="000000"/>
            </w:tcBorders>
            <w:vAlign w:val="center"/>
          </w:tcPr>
          <w:p>
            <w:pPr>
              <w:pStyle w:val="TableContents"/>
              <w:bidi w:val="0"/>
              <w:spacing w:before="0" w:after="283"/>
              <w:jc w:val="left"/>
              <w:rPr/>
            </w:pPr>
            <w:r>
              <w:rPr/>
              <w:t> </w:t>
            </w:r>
          </w:p>
        </w:tc>
        <w:tc>
          <w:tcPr>
            <w:tcW w:w="842" w:type="dxa"/>
            <w:tcBorders>
              <w:bottom w:val="double" w:sz="10" w:space="0" w:color="000000"/>
            </w:tcBorders>
            <w:vAlign w:val="center"/>
          </w:tcPr>
          <w:p>
            <w:pPr>
              <w:pStyle w:val="TableContents"/>
              <w:bidi w:val="0"/>
              <w:spacing w:before="0" w:after="283"/>
              <w:jc w:val="right"/>
              <w:rPr/>
            </w:pPr>
            <w:r>
              <w:rPr/>
              <w:t>100.0</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Gross Profit: </w:t>
      </w:r>
      <w:r>
        <w:rPr>
          <w:rFonts w:ascii="Times New Roman;Times;Serif" w:hAnsi="Times New Roman;Times;Serif"/>
          <w:b w:val="false"/>
          <w:i w:val="false"/>
          <w:caps w:val="false"/>
          <w:smallCaps w:val="false"/>
          <w:sz w:val="20"/>
        </w:rPr>
        <w:t>Gross profit for the three months ended March 31, 2026, was $2,602,000 as compared to $2,034,000 for the three months ended March 31, 2025. Our gross profit percentage for the three months ended March 31, 2026 increased to 22.4% from the 16.8% for the three months ended March 31, 2025. The increase in margin can be attributable to changes in the sales across our major platforms, shifts in product mix, and overall operating efficiencies. During the second half of 2025, we implemented several cost reductions that benefited our gross profit during the three months ended March 31, 2026 that were not in place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Operating Expenses</w:t>
      </w:r>
      <w:r>
        <w:rPr>
          <w:rFonts w:ascii="Times New Roman;Times;Serif" w:hAnsi="Times New Roman;Times;Serif"/>
          <w:b w:val="false"/>
          <w:i w:val="false"/>
          <w:caps w:val="false"/>
          <w:smallCaps w:val="false"/>
          <w:sz w:val="20"/>
        </w:rPr>
        <w:t>: Operating expenses were $3,167,000, for the three months ended March 31, 2026, an increase of $387,000, from $2,780,000 for the three months ended March 31, 2025. As a percentage of consolidated net sales, operating expenses increased to 27.3%, compared to the 22.9% achieved during the three months ended March 31, 2025. The dollar increase was primarily driven by increases in stock-based compensation costs and professional fees as well as costs associated with the continued improvement of our information technology system and hardening our cyber-security defenses. We continue to look for ways to reduce our costs and improve our operating performance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(which includes amortization of deferred financing costs) was $494,000 during the three months ended March 31, 2026, an increase of $50,000 or 11.2% from $444,000 during the three months ended March 31, 2025. The increase is primarily attributable to the higher loan balances under our Current Credit Facility. The average interest rate on outstanding debt pursuant to our Current Credit Facility which decreased to 6.10% in 2026 as compared to 6.85%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val="false"/>
          <w:i w:val="false"/>
          <w:caps w:val="false"/>
          <w:smallCaps w:val="false"/>
          <w:sz w:val="20"/>
        </w:rPr>
        <w:t xml:space="preserve"> Net loss for the three months ended March 31, 2026 was $1,020,000, compared to a net loss of $988,000 for the three months ended March 31, 2025, for the reasons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debt service requirements related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5"/>
        <w:gridCol w:w="9925"/>
      </w:tblGrid>
      <w:tr>
        <w:trPr/>
        <w:tc>
          <w:tcPr>
            <w:tcW w:w="10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indebtedness under our Current Credit Facility of $24,876,000 (consisting of a Revolving Loan of $19,283,000 and a Term Loan in the amount of $5,593,000). This debt matures on September 30, 2026, and requires us to make monthly payments on the term loan of approximately $87,000 until the loan matures.</w:t>
            </w:r>
          </w:p>
        </w:tc>
      </w:tr>
    </w:tbl>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215"/>
        <w:gridCol w:w="663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Related Party Notes of approximately $4,871,000, maturing on October 1, 2026.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3"/>
        <w:gridCol w:w="9917"/>
      </w:tblGrid>
      <w:tr>
        <w:trPr/>
        <w:tc>
          <w:tcPr>
            <w:tcW w:w="10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Various equipment leases and contractual obligations related to our normal business, including advances under our Solar Facility for the installation of solar energy systems including the replacement of the existing roof at our Sterling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Current Credit Facility, as amended, we are required to meet a prescribed Fixed Charge Coverage Ratio (“FCCR”) (as defined) that is determined at the end of each fiscal quarter. This ratio is a financial metric that we use to measure our ability to cover fixed charges such as interest and lease expenses divided by EBITDA (as defined in the Current Credit Facility) which represents net income (loss) before interest, taxes, depreciation and amortization. As of March 31, 2026, the Company is required to meet a FCCR of 1.10x. As of March 31, 2026, we were not in compliance with this ratio having only attained a ratio of 0.93x. We are in compliance with all other required business and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and Related Party Subordinated are classified as current liabilities on the condensed consolidated balance sheet as of March 31, 2026. As a result of the due dates of this debt, there is substantial doubt about our ability to continue as a going concern for the twelve months following the date of filing of these consolidated financial statements. In addition, we are in default under our Current Credit Facility due to our failure to meet the FCCR required for the period ended March 31, 2026. Webster Bank has advised us that it will not renew our Current Credit Facility. In addition to discussions with our lenders, as discussed in our Current Report on Form 8-K filed February 17, 2026, we entered into a Merger Agreement with Tenax.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expires on September 30, 2026. In addition, we are required to maintain a collection account with our lender into which substantially all cash receipts are remitted. As we are in to default under the Current Credit Facility, our lender could choose to increase the rate of interest or refuse to make loans under the revolving portion of the Current Credit Facility and keep the funds remitted to the collection account. If the lender were to raise the rate of interest, it would adversely impact our operating results. If the lender were to cease making new loans under the revolving facility, we would lack the funds to continue operations. The Current Credit Facility expiration date and the rights granted to the lender, combined with the reasonable possibility that we might fail to meet covenants in the future, raise substantial doubt about our ability to continue as a going concern for the one year commencing as of the date of filing this report. To date, the lender has chosen not to exercise any of its remedies, though we have agreed to place $3,930,000 of ATM proceeds in an interest bearing account to serve as additional security for the Company’s obligations under the Current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current operations and strategic initiatives, beginning in December 2024 we raised capital through public market sales of our common stock and believe we can continue to access equity markets in future periods, though there is no assurance as to our ability to do so or as to the price and terms under which we could issue equity securities. During the year ended December 31, 2025, the Company sold 1,213,593 shares of common stock in the public market and generated gross proceeds of $4,869,000, of which approximately $3,930,000 is restricted for the benefit of the Current Credit Facility lender. Since initiating the sales in December 2024, we have sold a total of 1,330,444 shares for gross proceeds of $5,375,000. In light of ongoing negotiations with our lenders and in accordance with the Merger Agreement with Tenax, we have temporarily paused all equity raising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discussion of the recent amendments to the Current Credit Facility (all of which have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 ending March 31, 2025 and June 30, 2025, we are required to achieve a Fixed Charge Coverage Ratio of 1.05x. Beginning with the rolling twelve-month period ending September 30, 2025 and going forward the Company is required to achieve a Fixed Charge Coverage Ratio of 1.25x. All other covenants remain unchanged. In connection with these changes, the Company paid an amendment fee of $20,000.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10, 2025, the Company entered into a Ninth Amendment where we agreed that $3,930,000 of the proceeds from our ATM Offering would be maintained in an interest bearing account. The funds in this account serve as security for our obligations under the Current Credit Facility.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The company paid an amendment fee of $40,000.</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February 26, 2026, the Company entered into an Eleventh Amendment to which extended the maturity date of the revolving credit and term loans to September 30, 2026. The company paid an amendment fee of $25,000 and agreed to pay an additional fee of $150,000 on the maturity date of the Current Credit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close the merger with Tenax contemplated by the Merger Agreement or obtain a new lender to replace the Current Credit Facility we may not be able meet our financial obligations. As of March 31, 2026, we have borrowing capacity of approximately $787,000 under the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required Term Loan payments we may have to make additional payments under the Current Credit Facility. For so long as the Term Loan under the Current Credit Facility remains outstanding, if Excess Cash Flow (as defined) is a positive amount for any fiscal year, we are obligated to pay an amount equal to the lesser of (i) twenty-five percent (25%) of the Excess Cash Flow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outstanding indebtedness under the Current Credit Facility and Related Party Notes, we have various equipment leases and contractual obligations of an ongoing nature which we service in the ordinary course out of our cash flow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are for debt service, funding working capital and capital expenditures. We have historically met these requirements with funds provided by a combination of cash generated from operating activities and cash generated from equity and debt financing transactions. Based on our current revenue visibility, strength of our backlog, and availability under our Current Credit Facility, we believe that we have sufficient liquidity to meet our day-to-day cash requirements for our operations. However, we must pay or refinance large portions of our indebtedness prior to September 30, 2026. Further, as a condition to refinancing our Current Credit Facility prior to September 30, 2026, a new lender may require that the holders of our Related Party Notes extend or otherwise modify the subordination agreements they have given in favor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close the contemplated Merger, it is unlikely we will be able to pay existing debt and will need to refinance our Current Credit Facility and Related Party Notes. We have engaged in discussions with Webster Bank and the holders of our Related Party Notes to explore potential extensions or refinancings of our obligations. Webster Bank has advised us that it will not extend our Current Credit Facility. Refinancing our indebtedness may require us to pay higher interest rates than we currently pay, agree to more restrictive business or financial covenants or involve the issuance of debt, equity and/or new securities convertible into or exercisable or exchangeable for our common stock. Any failure to refinance our existing debt or obtain additional working capital when required would have a material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regarding outstanding indebtedness are provided in “Note 5.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net cash flows from operating, investing and financing activities for the periods indicated (in thousands): </w:t>
      </w:r>
    </w:p>
    <w:p>
      <w:pPr>
        <w:pStyle w:val="TextBody"/>
        <w:bidi w:val="0"/>
        <w:spacing w:before="0" w:after="0"/>
        <w:ind w:left="0" w:right="0" w:hanging="0"/>
        <w:jc w:val="both"/>
        <w:rPr>
          <w:caps w:val="false"/>
          <w:smallCaps w:val="false"/>
        </w:rPr>
      </w:pPr>
      <w:r>
        <w:rPr>
          <w:caps w:val="false"/>
          <w:smallCaps w:val="false"/>
        </w:rPr>
        <w:t> </w:t>
      </w:r>
    </w:p>
    <w:tbl>
      <w:tblPr>
        <w:tblW w:w="5128" w:type="dxa"/>
        <w:jc w:val="left"/>
        <w:tblInd w:w="0" w:type="dxa"/>
        <w:tblLayout w:type="fixed"/>
        <w:tblCellMar>
          <w:top w:w="0" w:type="dxa"/>
          <w:left w:w="0" w:type="dxa"/>
          <w:bottom w:w="0" w:type="dxa"/>
          <w:right w:w="0" w:type="dxa"/>
        </w:tblCellMar>
      </w:tblPr>
      <w:tblGrid>
        <w:gridCol w:w="2630"/>
        <w:gridCol w:w="90"/>
        <w:gridCol w:w="202"/>
        <w:gridCol w:w="790"/>
        <w:gridCol w:w="148"/>
        <w:gridCol w:w="106"/>
        <w:gridCol w:w="202"/>
        <w:gridCol w:w="790"/>
        <w:gridCol w:w="170"/>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Cash provided by (used in)</w:t>
            </w:r>
          </w:p>
        </w:tc>
        <w:tc>
          <w:tcPr>
            <w:tcW w:w="9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(1,298</w:t>
            </w:r>
          </w:p>
        </w:tc>
        <w:tc>
          <w:tcPr>
            <w:tcW w:w="14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1,525</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Investing activities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(425</w:t>
            </w:r>
          </w:p>
        </w:tc>
        <w:tc>
          <w:tcPr>
            <w:tcW w:w="148"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(1,217</w:t>
            </w:r>
          </w:p>
        </w:tc>
        <w:tc>
          <w:tcPr>
            <w:tcW w:w="170" w:type="dxa"/>
            <w:tcBorders/>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1,329</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(776</w:t>
            </w:r>
          </w:p>
        </w:tc>
        <w:tc>
          <w:tcPr>
            <w:tcW w:w="170" w:type="dxa"/>
            <w:tcBorders/>
            <w:shd w:fill="CCEEFF" w:val="clear"/>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Net decrease in cash</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90" w:type="dxa"/>
            <w:tcBorders>
              <w:bottom w:val="double" w:sz="10" w:space="0" w:color="000000"/>
            </w:tcBorders>
            <w:tcMar>
              <w:bottom w:w="28" w:type="dxa"/>
            </w:tcMar>
            <w:vAlign w:val="center"/>
          </w:tcPr>
          <w:p>
            <w:pPr>
              <w:pStyle w:val="TableContents"/>
              <w:bidi w:val="0"/>
              <w:spacing w:before="0" w:after="283"/>
              <w:jc w:val="right"/>
              <w:rPr/>
            </w:pPr>
            <w:r>
              <w:rPr/>
              <w:t>(394</w:t>
            </w:r>
          </w:p>
        </w:tc>
        <w:tc>
          <w:tcPr>
            <w:tcW w:w="148"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90" w:type="dxa"/>
            <w:tcBorders>
              <w:bottom w:val="double" w:sz="10" w:space="0" w:color="000000"/>
            </w:tcBorders>
            <w:tcMar>
              <w:bottom w:w="28" w:type="dxa"/>
            </w:tcMar>
            <w:vAlign w:val="center"/>
          </w:tcPr>
          <w:p>
            <w:pPr>
              <w:pStyle w:val="TableContents"/>
              <w:bidi w:val="0"/>
              <w:spacing w:before="0" w:after="283"/>
              <w:jc w:val="right"/>
              <w:rPr/>
            </w:pPr>
            <w:r>
              <w:rPr/>
              <w:t>(468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(Used in) Provided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used $1,298,000 in operations as compared to a cash flow provided of $1,525,000 for the three months ended March 31, 2025. The decrease was due primarily to increases in inventory and accounts receivable and a decrease in accounts payable partially offset by an increase in customer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we generated $1,525,000 from operations which was mainly attributable to a decrease in accounts receivable and the collection of contract costs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most recent quarter, we continued to make investments to enhance our competitiveness and market position. Cash used in investing activities of $425,000 and $1,217,000, during the three months ended March 31, 2026 and 2025, respectively, was for new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made in 2026 and 2025 increased our production efficiency and speed, while maintaining closer tolerances. We intend to limit capital expenditures until such time as our debt situation is resolved.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Provided by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cash provided by financing activities was $1,329,000. During this period, we increased borrowings under our Current Credit Facility by $1,403,000 (consisting of a net increase in Revolving Loan borrowings of $1,665,000 and a net decrease of $262,000 against the Term Loan). Additionally, we made payments of $59,000 pursuant to financing lease obligations, $13,000 on our Solar Credit Facility and $2,000 on a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of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estimate is one that is both important to the portrayal of a company’s financial condition and results of operations and requires management’s most difficult, subjective or complex judgements, often as a result of the need to make estimates about the effect of matters that are inherently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Estimates. 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inventory valuation, useful lives and impairment of long-lived assets, income tax provision, and allowance for credit losses. Changes in the status of certain facts or circumstances could result in material changes to the estimates used in the preparation of the financial statements and actual results could differ from the estimates and assumptions.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critical accounting estimates as compared to the estimates described in the 2025 Annual Report which we believe are the most critical to our business and understanding of our results of operations and affect the more significant judgments and estimates that we use in preparation of our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p_005"/>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Acting Chief Executive Officer (“CEO”) and Vice President of Finance, who is our principal financial and accounting officer (“PFO”), evaluated the effectiveness of our disclosure controls and procedures as defined in Rule 13a-15(e) and 15d 15(e) under the Securities Exchange Act of 1934, as amended (the “Exchange Act”), as of March 31, 2026. Our disclosure controls and procedures are designed to provide reasonable assurance that information we are required to disclose in the reports we file or submit under the Exchange Act is accumulated and communicated to our management, including our CEO and PFO, as appropriate to allow timely decisions regarding required disclosures, and is recorded, processed, summarized, and reported within the time periods specified in the SEC’s rules and forms. Based on this evaluation, and as a result of the material weakness described below, our CEO and PFO have concluded that our disclosure controls and procedures were not effective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our 2025 Form 10-K, in connection with their review of our internal controls as of and for the year ended December 31, 2025, our management determined that a material weakness previously identified in our internal controls over financial reporting related to our IT systems has yet to be remediated. During fiscal 2025, we implemented new controls and procedures to eliminate this weakness but additional enhancements and more formalized documentation are still required. Tests of such controls and procedures are ongoing and the material weakness noted will only be deemed to have been remediated after the new controls and procedures have been in place for a sufficient period and management has concluded through appropriate testing that the controls are operating effectively. As such, we consider this material weakness not to be remediated as of March 31, 2026. Based on this evaluation and as a result of this material weakness, we have concluded that our disclosure controls and procedures were not effective as of March 31, 2026. For more information, see Item 9A. Controls and Procedures, included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the Company is continuing to test such controls and procedures designed to remediate the aforementioned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have not been any changes in our internal control over financial reporting, as such term is defined in Rules 13a-15(f) and 15d-15(f) under the Exchange Act, during our most recently completed fiscal quarter which is the subject of this report that have materially affected, or are reasonably likely to materially affect, our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_006"/>
      <w:bookmarkEnd w:id="13"/>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p_007"/>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encouraged to consider the risks described in our 2025 Form 10-K, our Management’s Discussion and Analysis of Financial Condition and Results of Operations contained in this Report and other information publicly disclosed or contained in documents we file with the Securities and Exchange Commission before purchasing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p_008"/>
      <w:bookmarkEnd w:id="15"/>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5"/>
        <w:gridCol w:w="90"/>
        <w:gridCol w:w="9090"/>
      </w:tblGrid>
      <w:tr>
        <w:trPr/>
        <w:tc>
          <w:tcPr>
            <w:tcW w:w="10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09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Agreement and Plan of Merger By and Among Air Industries Group, Tenax Aerospace Acquisition, LLC and Transitory Air Sub LLC (incorporated herein by reference to Exhibit 2.1 to the Company’s Current Report on Form 8-K filed February 17, 2026).</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Eleventh Amendment to Loan and Security Agreement with Webster Bank, National Association (incorporated herein by reference to Exhibit 10.1 to the Company’s Current Report on Form 8-K filed February 27, 2026).</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Form of Indemnification Agreement between the Company and each Director and Officer (incorporated herein by reference to Exhibit 10.15 to the Company’s Annual Report on Form 10-K filed March 27, 2026).</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Form of Restricted Stock Unit Award Agreement under 2022 Equity Incentive Plan As Amended and Restated as of May 23, 2024 (incorporated herein by reference to Exhibit 10.16 to the Company’s Annual Report on Form 10-K filed March 27, 2026).</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w:anchor="ea028957501ex31-1.htm">
              <w:r>
                <w:rPr>
                  <w:rStyle w:val="InternetLink"/>
                  <w:rFonts w:ascii="Times New Roman;Times;Serif" w:hAnsi="Times New Roman;Times;Serif"/>
                  <w:sz w:val="20"/>
                </w:rPr>
                <w:t>Certification of principal executive officer pursuant to Rule 13a-14 or Rule 15d-14 of Securities Exchange Act of 1934.</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w:anchor="ea028957501ex31-2.htm">
              <w:r>
                <w:rPr>
                  <w:rStyle w:val="InternetLink"/>
                  <w:rFonts w:ascii="Times New Roman;Times;Serif" w:hAnsi="Times New Roman;Times;Serif"/>
                  <w:sz w:val="20"/>
                </w:rPr>
                <w:t>Certification of principal financial officer pursuant to Rule 13a-14 or Rule 15d-14 of the Exchange Act of 1934.</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w:anchor="ea028957501ex32-1.htm">
              <w:r>
                <w:rPr>
                  <w:rStyle w:val="InternetLink"/>
                  <w:rFonts w:ascii="Times New Roman;Times;Serif" w:hAnsi="Times New Roman;Times;Serif"/>
                  <w:sz w:val="20"/>
                </w:rPr>
                <w:t>Certification of principal executive officer pursuant to Section 906 of Sarbanes-Oxley Act of 2002 (18 U.S.C. Section 1350).</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pPr>
            <w:hyperlink w:anchor="ea028957501ex32-2.htm">
              <w:r>
                <w:rPr>
                  <w:rStyle w:val="InternetLink"/>
                  <w:rFonts w:ascii="Times New Roman;Times;Serif" w:hAnsi="Times New Roman;Times;Serif"/>
                  <w:sz w:val="20"/>
                </w:rPr>
                <w:t>Certification of principal financial officer pursuant to Section 906 of Sarbanes-Oxley Act of 2002 (18 U.S.C. Section 1350).</w:t>
              </w:r>
            </w:hyperlink>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Presentation</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p_009"/>
      <w:bookmarkEnd w:id="1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2026</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395"/>
        <w:gridCol w:w="3590"/>
      </w:tblGrid>
      <w:tr>
        <w:trPr/>
        <w:tc>
          <w:tcPr>
            <w:tcW w:w="105"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5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Drisgula</w:t>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Drisgula</w:t>
              <w:br/>
              <w:t>Vice President of Finance</w:t>
              <w:b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28957501ex31-1.htm"/>
      <w:bookmarkStart w:id="18" w:name="ksea028957501ex311"/>
      <w:bookmarkEnd w:id="17"/>
      <w:bookmarkEnd w:id="18"/>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Glassman, certify that:</w:t>
      </w:r>
    </w:p>
    <w:p>
      <w:pPr>
        <w:pStyle w:val="TextBody"/>
        <w:bidi w:val="0"/>
        <w:spacing w:before="0" w:after="0"/>
        <w:ind w:left="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220" w:type="dxa"/>
            <w:tcBorders/>
            <w:vAlign w:val="center"/>
          </w:tcPr>
          <w:p>
            <w:pPr>
              <w:pStyle w:val="TableContents"/>
              <w:bidi w:val="0"/>
              <w:spacing w:before="0" w:after="283"/>
              <w:jc w:val="both"/>
              <w:rPr/>
            </w:pPr>
            <w:r>
              <w:rPr/>
              <w:t>I have reviewed this quarterly report on Form 10-Q of Air Industries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6"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6065"/>
        <w:gridCol w:w="75"/>
      </w:tblGrid>
      <w:tr>
        <w:trPr/>
        <w:tc>
          <w:tcPr>
            <w:tcW w:w="6065" w:type="dxa"/>
            <w:tcBorders/>
            <w:vAlign w:val="center"/>
          </w:tcPr>
          <w:p>
            <w:pPr>
              <w:pStyle w:val="TableContents"/>
              <w:bidi w:val="0"/>
              <w:spacing w:before="0" w:after="283"/>
              <w:jc w:val="left"/>
              <w:rPr>
                <w:sz w:val="20"/>
              </w:rPr>
            </w:pPr>
            <w:r>
              <w:rPr>
                <w:sz w:val="20"/>
              </w:rPr>
              <w:t>Dated: May 13, 2026</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Scott Glassman</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20"/>
              </w:rPr>
            </w:pPr>
            <w:r>
              <w:rPr>
                <w:sz w:val="20"/>
              </w:rPr>
              <w:t>Scott Glassman</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20"/>
              </w:rPr>
            </w:pPr>
            <w:r>
              <w:rPr>
                <w:sz w:val="20"/>
              </w:rPr>
              <w:t>Acting Chief Executive Officer and President (Principal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28957501ex31-2.htm"/>
      <w:bookmarkStart w:id="20" w:name="ksea028957501ex312"/>
      <w:bookmarkEnd w:id="19"/>
      <w:bookmarkEnd w:id="20"/>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Drisgula, certify that:</w:t>
      </w:r>
    </w:p>
    <w:p>
      <w:pPr>
        <w:pStyle w:val="TextBody"/>
        <w:bidi w:val="0"/>
        <w:spacing w:before="0" w:after="0"/>
        <w:ind w:left="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220" w:type="dxa"/>
            <w:tcBorders/>
            <w:vAlign w:val="center"/>
          </w:tcPr>
          <w:p>
            <w:pPr>
              <w:pStyle w:val="TableContents"/>
              <w:bidi w:val="0"/>
              <w:spacing w:before="0" w:after="283"/>
              <w:jc w:val="both"/>
              <w:rPr/>
            </w:pPr>
            <w:r>
              <w:rPr/>
              <w:t>I have reviewed this quarterly report on Form 10-Q of Air Industries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6"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415"/>
        <w:gridCol w:w="75"/>
      </w:tblGrid>
      <w:tr>
        <w:trPr/>
        <w:tc>
          <w:tcPr>
            <w:tcW w:w="4415" w:type="dxa"/>
            <w:tcBorders/>
            <w:vAlign w:val="center"/>
          </w:tcPr>
          <w:p>
            <w:pPr>
              <w:pStyle w:val="TableContents"/>
              <w:bidi w:val="0"/>
              <w:spacing w:before="0" w:after="283"/>
              <w:jc w:val="left"/>
              <w:rPr>
                <w:sz w:val="20"/>
              </w:rPr>
            </w:pPr>
            <w:r>
              <w:rPr>
                <w:sz w:val="20"/>
              </w:rPr>
              <w:t>Dated: May 13, 2026</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Brian Drisgula</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sz w:val="20"/>
              </w:rPr>
            </w:pPr>
            <w:r>
              <w:rPr>
                <w:sz w:val="20"/>
              </w:rPr>
              <w:t>Brian Drisgula</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sz w:val="20"/>
              </w:rPr>
            </w:pPr>
            <w:r>
              <w:rPr>
                <w:sz w:val="20"/>
              </w:rPr>
              <w:t>Vice President of Finance (Principal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8957501ex32-1.htm"/>
      <w:bookmarkStart w:id="22" w:name="ksea028957501ex321"/>
      <w:bookmarkEnd w:id="21"/>
      <w:bookmarkEnd w:id="22"/>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Air Industries Group, a Nevada corporation (the “Company”), on Form 10-Q for the period ended March 31, 2026, as filed with the Securities and Exchange Commission (the “Report”) Scott Glassman, Acting, Chief Executive Officer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2026</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695"/>
        <w:gridCol w:w="75"/>
      </w:tblGrid>
      <w:tr>
        <w:trPr/>
        <w:tc>
          <w:tcPr>
            <w:tcW w:w="3695" w:type="dxa"/>
            <w:tcBorders>
              <w:bottom w:val="single" w:sz="12" w:space="0" w:color="000000"/>
            </w:tcBorders>
            <w:vAlign w:val="center"/>
          </w:tcPr>
          <w:p>
            <w:pPr>
              <w:pStyle w:val="TableContents"/>
              <w:bidi w:val="0"/>
              <w:spacing w:before="0" w:after="283"/>
              <w:jc w:val="left"/>
              <w:rPr>
                <w:i/>
                <w:sz w:val="20"/>
              </w:rPr>
            </w:pPr>
            <w:r>
              <w:rPr>
                <w:i/>
                <w:sz w:val="20"/>
              </w:rPr>
              <w:t>/s/ Scott Glassman</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283"/>
              <w:jc w:val="left"/>
              <w:rPr>
                <w:sz w:val="20"/>
              </w:rPr>
            </w:pPr>
            <w:r>
              <w:rPr>
                <w:sz w:val="20"/>
              </w:rPr>
              <w:t>Scott Glassman</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283"/>
              <w:jc w:val="left"/>
              <w:rPr>
                <w:sz w:val="20"/>
              </w:rPr>
            </w:pPr>
            <w:r>
              <w:rPr>
                <w:sz w:val="20"/>
              </w:rPr>
              <w:t>Acting Chief Executive Officer and President</w:t>
              <w:b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8957501ex32-2.htm"/>
      <w:bookmarkStart w:id="24" w:name="ksea028957501ex322"/>
      <w:bookmarkEnd w:id="23"/>
      <w:bookmarkEnd w:id="24"/>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Air Industries Group, a Nevada corporation (the “Company”), on Form 10-Q for the period ended March 31, 2026, as filed with the Securities and Exchange Commission (the “Report”), Brian Drisgula, Principal Financial Officer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12" w:space="0" w:color="000000"/>
            </w:tcBorders>
            <w:vAlign w:val="center"/>
          </w:tcPr>
          <w:p>
            <w:pPr>
              <w:pStyle w:val="TableContents"/>
              <w:bidi w:val="0"/>
              <w:spacing w:before="0" w:after="283"/>
              <w:jc w:val="left"/>
              <w:rPr>
                <w:i/>
                <w:sz w:val="20"/>
              </w:rPr>
            </w:pPr>
            <w:r>
              <w:rPr>
                <w:i/>
                <w:sz w:val="20"/>
              </w:rPr>
              <w:t>/s/ Brian Drisgula</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Drisgula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 President of Finance </w:t>
              <w:b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9891/000121390026016863/ea027726901ex2-1_airindus.htm" TargetMode="External"/><Relationship Id="rId3" Type="http://schemas.openxmlformats.org/officeDocument/2006/relationships/hyperlink" Target="https://www.sec.gov/Archives/edgar/data/1009891/000121390026021066/ea0226202601ex10-1.htm" TargetMode="External"/><Relationship Id="rId4" Type="http://schemas.openxmlformats.org/officeDocument/2006/relationships/hyperlink" Target="https://www.sec.gov/Archives/edgar/data/1009891/000121390026035731/ea028229801ex10-15.htm" TargetMode="External"/><Relationship Id="rId5" Type="http://schemas.openxmlformats.org/officeDocument/2006/relationships/hyperlink" Target="https://www.sec.gov/Archives/edgar/data/1009891/000121390026035731/ea028229801ex10-16.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14855</Words>
  <Characters>80617</Characters>
  <CharactersWithSpaces>96511</CharactersWithSpaces>
  <Paragraphs>4246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