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6480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48081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3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Glassman Scott</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1460 FIFTH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8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AIR INDUSTRIES GROUP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AIRI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04/27/2026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694"/>
        <w:spacing w:after="0"/>
        <w:rPr>
          <w:sz w:val="20"/>
          <w:szCs w:val="20"/>
          <w:color w:val="auto"/>
        </w:rPr>
      </w:pPr>
      <w:r>
        <w:rPr>
          <w:rFonts w:ascii="Times New Roman" w:cs="Times New Roman" w:eastAsia="Times New Roman" w:hAnsi="Times New Roman"/>
          <w:sz w:val="17"/>
          <w:szCs w:val="17"/>
          <w:color w:val="0000FF"/>
        </w:rPr>
        <w:t>Acting CEO and President</w:t>
      </w:r>
    </w:p>
    <w:p>
      <w:pPr>
        <w:spacing w:after="0" w:line="318" w:lineRule="exact"/>
        <w:rPr>
          <w:sz w:val="24"/>
          <w:szCs w:val="24"/>
          <w:color w:val="auto"/>
        </w:rPr>
      </w:pPr>
    </w:p>
    <w:p>
      <w:pPr>
        <w:sectPr>
          <w:pgSz w:w="11900" w:h="16838" w:orient="portrait"/>
          <w:cols w:equalWidth="0" w:num="3">
            <w:col w:w="3180" w:space="720"/>
            <w:col w:w="3106" w:space="720"/>
            <w:col w:w="3354"/>
          </w:cols>
          <w:pgMar w:left="460" w:top="216" w:right="359" w:bottom="33"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660" w:type="dxa"/>
            <w:vAlign w:val="bottom"/>
            <w:gridSpan w:val="9"/>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80" w:type="dxa"/>
            <w:vAlign w:val="bottom"/>
            <w:gridSpan w:val="10"/>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60" w:type="dxa"/>
            <w:vAlign w:val="bottom"/>
            <w:gridSpan w:val="9"/>
            <w:vMerge w:val="continue"/>
          </w:tcPr>
          <w:p>
            <w:pPr>
              <w:spacing w:after="0"/>
              <w:rPr>
                <w:sz w:val="7"/>
                <w:szCs w:val="7"/>
                <w:color w:val="auto"/>
              </w:rPr>
            </w:pPr>
          </w:p>
        </w:tc>
        <w:tc>
          <w:tcPr>
            <w:tcW w:w="36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BAY SHORE</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11706</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6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6"/>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6"/>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40" w:type="dxa"/>
            <w:vAlign w:val="bottom"/>
          </w:tcPr>
          <w:p>
            <w:pPr>
              <w:ind w:left="220"/>
              <w:spacing w:after="0" w:line="130"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04/27/2026</w:t>
            </w: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ind w:right="25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20,427</w:t>
            </w:r>
          </w:p>
        </w:tc>
        <w:tc>
          <w:tcPr>
            <w:tcW w:w="5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2"/>
                <w:szCs w:val="22"/>
                <w:color w:val="auto"/>
              </w:rPr>
            </w:pPr>
          </w:p>
        </w:tc>
        <w:tc>
          <w:tcPr>
            <w:tcW w:w="13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32,409</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(2)</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04/27/2026</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ind w:right="299"/>
              <w:spacing w:after="0"/>
              <w:rPr>
                <w:sz w:val="20"/>
                <w:szCs w:val="20"/>
                <w:color w:val="auto"/>
              </w:rPr>
            </w:pPr>
            <w:r>
              <w:rPr>
                <w:rFonts w:ascii="Times New Roman" w:cs="Times New Roman" w:eastAsia="Times New Roman" w:hAnsi="Times New Roman"/>
                <w:sz w:val="13"/>
                <w:szCs w:val="13"/>
                <w:color w:val="0000FF"/>
              </w:rPr>
              <w:t>F</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8,447</w:t>
            </w:r>
          </w:p>
        </w:tc>
        <w:tc>
          <w:tcPr>
            <w:tcW w:w="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3.18</w:t>
            </w:r>
          </w:p>
        </w:tc>
        <w:tc>
          <w:tcPr>
            <w:tcW w:w="13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23,962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6"/>
          </w:tcPr>
          <w:p>
            <w:pPr>
              <w:jc w:val="center"/>
              <w:ind w:left="791"/>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80" w:type="dxa"/>
            <w:vAlign w:val="bottom"/>
            <w:gridSpan w:val="13"/>
          </w:tcPr>
          <w:p>
            <w:pPr>
              <w:jc w:val="center"/>
              <w:ind w:left="4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center"/>
              <w:ind w:left="102"/>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5"/>
                <w:szCs w:val="15"/>
                <w:color w:val="auto"/>
              </w:rPr>
            </w:pPr>
          </w:p>
        </w:tc>
        <w:tc>
          <w:tcPr>
            <w:tcW w:w="560" w:type="dxa"/>
            <w:vAlign w:val="bottom"/>
            <w:vMerge w:val="restart"/>
          </w:tcPr>
          <w:p>
            <w:pPr>
              <w:jc w:val="center"/>
              <w:ind w:right="256"/>
              <w:spacing w:after="0"/>
              <w:rPr>
                <w:sz w:val="20"/>
                <w:szCs w:val="20"/>
                <w:color w:val="auto"/>
              </w:rPr>
            </w:pPr>
            <w:r>
              <w:rPr>
                <w:rFonts w:ascii="Times New Roman" w:cs="Times New Roman" w:eastAsia="Times New Roman" w:hAnsi="Times New Roman"/>
                <w:sz w:val="11"/>
                <w:szCs w:val="11"/>
                <w:color w:val="008000"/>
                <w:w w:val="93"/>
              </w:rPr>
              <w:t>(3)</w:t>
            </w: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12,159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jc w:val="center"/>
              <w:ind w:left="139"/>
              <w:spacing w:after="0" w:line="130" w:lineRule="exact"/>
              <w:rPr>
                <w:sz w:val="20"/>
                <w:szCs w:val="20"/>
                <w:color w:val="auto"/>
              </w:rPr>
            </w:pPr>
            <w:r>
              <w:rPr>
                <w:rFonts w:ascii="Times New Roman" w:cs="Times New Roman" w:eastAsia="Times New Roman" w:hAnsi="Times New Roman"/>
                <w:sz w:val="13"/>
                <w:szCs w:val="13"/>
                <w:color w:val="0000FF"/>
              </w:rPr>
              <w:t>12,159</w:t>
            </w:r>
          </w:p>
        </w:tc>
        <w:tc>
          <w:tcPr>
            <w:tcW w:w="26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center"/>
              <w:ind w:left="102"/>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560" w:type="dxa"/>
            <w:vAlign w:val="bottom"/>
            <w:vMerge w:val="restart"/>
          </w:tcPr>
          <w:p>
            <w:pPr>
              <w:jc w:val="center"/>
              <w:ind w:right="256"/>
              <w:spacing w:after="0"/>
              <w:rPr>
                <w:sz w:val="20"/>
                <w:szCs w:val="20"/>
                <w:color w:val="auto"/>
              </w:rPr>
            </w:pPr>
            <w:r>
              <w:rPr>
                <w:rFonts w:ascii="Times New Roman" w:cs="Times New Roman" w:eastAsia="Times New Roman" w:hAnsi="Times New Roman"/>
                <w:sz w:val="11"/>
                <w:szCs w:val="11"/>
                <w:color w:val="008000"/>
                <w:w w:val="93"/>
              </w:rPr>
              <w:t>(1)</w:t>
            </w: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20,427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jc w:val="center"/>
              <w:ind w:left="139"/>
              <w:spacing w:after="0" w:line="130" w:lineRule="exact"/>
              <w:rPr>
                <w:sz w:val="20"/>
                <w:szCs w:val="20"/>
                <w:color w:val="auto"/>
              </w:rPr>
            </w:pPr>
            <w:r>
              <w:rPr>
                <w:rFonts w:ascii="Times New Roman" w:cs="Times New Roman" w:eastAsia="Times New Roman" w:hAnsi="Times New Roman"/>
                <w:sz w:val="13"/>
                <w:szCs w:val="13"/>
                <w:color w:val="0000FF"/>
              </w:rPr>
              <w:t>20,427</w:t>
            </w:r>
          </w:p>
        </w:tc>
        <w:tc>
          <w:tcPr>
            <w:tcW w:w="26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3.5</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1"/>
                <w:szCs w:val="11"/>
                <w:color w:val="008000"/>
              </w:rPr>
              <w:t>(4)</w:t>
            </w:r>
          </w:p>
        </w:tc>
        <w:tc>
          <w:tcPr>
            <w:tcW w:w="780" w:type="dxa"/>
            <w:vAlign w:val="bottom"/>
            <w:gridSpan w:val="2"/>
            <w:vMerge w:val="restart"/>
          </w:tcPr>
          <w:p>
            <w:pPr>
              <w:jc w:val="center"/>
              <w:ind w:right="36"/>
              <w:spacing w:after="0"/>
              <w:rPr>
                <w:sz w:val="20"/>
                <w:szCs w:val="20"/>
                <w:color w:val="auto"/>
              </w:rPr>
            </w:pPr>
            <w:r>
              <w:rPr>
                <w:rFonts w:ascii="Times New Roman" w:cs="Times New Roman" w:eastAsia="Times New Roman" w:hAnsi="Times New Roman"/>
                <w:sz w:val="13"/>
                <w:szCs w:val="13"/>
                <w:color w:val="0000FF"/>
              </w:rPr>
              <w:t>05/31/2028</w:t>
            </w:r>
          </w:p>
        </w:tc>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vMerge w:val="restart"/>
          </w:tcPr>
          <w:p>
            <w:pPr>
              <w:jc w:val="center"/>
              <w:ind w:left="139"/>
              <w:spacing w:after="0"/>
              <w:rPr>
                <w:sz w:val="20"/>
                <w:szCs w:val="20"/>
                <w:color w:val="auto"/>
              </w:rPr>
            </w:pPr>
            <w:r>
              <w:rPr>
                <w:rFonts w:ascii="Times New Roman" w:cs="Times New Roman" w:eastAsia="Times New Roman" w:hAnsi="Times New Roman"/>
                <w:sz w:val="13"/>
                <w:szCs w:val="13"/>
                <w:color w:val="0000FF"/>
                <w:w w:val="95"/>
              </w:rPr>
              <w:t>5,000</w:t>
            </w:r>
          </w:p>
        </w:tc>
        <w:tc>
          <w:tcPr>
            <w:tcW w:w="26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3.43</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1"/>
                <w:szCs w:val="11"/>
                <w:color w:val="008000"/>
              </w:rPr>
              <w:t>(4)</w:t>
            </w:r>
          </w:p>
        </w:tc>
        <w:tc>
          <w:tcPr>
            <w:tcW w:w="780" w:type="dxa"/>
            <w:vAlign w:val="bottom"/>
            <w:gridSpan w:val="2"/>
            <w:vMerge w:val="restart"/>
          </w:tcPr>
          <w:p>
            <w:pPr>
              <w:jc w:val="center"/>
              <w:ind w:right="36"/>
              <w:spacing w:after="0"/>
              <w:rPr>
                <w:sz w:val="20"/>
                <w:szCs w:val="20"/>
                <w:color w:val="auto"/>
              </w:rPr>
            </w:pPr>
            <w:r>
              <w:rPr>
                <w:rFonts w:ascii="Times New Roman" w:cs="Times New Roman" w:eastAsia="Times New Roman" w:hAnsi="Times New Roman"/>
                <w:sz w:val="13"/>
                <w:szCs w:val="13"/>
                <w:color w:val="0000FF"/>
              </w:rPr>
              <w:t>06/30/2028</w:t>
            </w:r>
          </w:p>
        </w:tc>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4,100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vMerge w:val="restart"/>
          </w:tcPr>
          <w:p>
            <w:pPr>
              <w:jc w:val="center"/>
              <w:ind w:left="139"/>
              <w:spacing w:after="0"/>
              <w:rPr>
                <w:sz w:val="20"/>
                <w:szCs w:val="20"/>
                <w:color w:val="auto"/>
              </w:rPr>
            </w:pPr>
            <w:r>
              <w:rPr>
                <w:rFonts w:ascii="Times New Roman" w:cs="Times New Roman" w:eastAsia="Times New Roman" w:hAnsi="Times New Roman"/>
                <w:sz w:val="13"/>
                <w:szCs w:val="13"/>
                <w:color w:val="0000FF"/>
                <w:w w:val="95"/>
              </w:rPr>
              <w:t>4,100</w:t>
            </w:r>
          </w:p>
        </w:tc>
        <w:tc>
          <w:tcPr>
            <w:tcW w:w="26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8.4</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1"/>
                <w:szCs w:val="11"/>
                <w:color w:val="008000"/>
              </w:rPr>
              <w:t>(4)</w:t>
            </w:r>
          </w:p>
        </w:tc>
        <w:tc>
          <w:tcPr>
            <w:tcW w:w="780" w:type="dxa"/>
            <w:vAlign w:val="bottom"/>
            <w:gridSpan w:val="2"/>
            <w:vMerge w:val="restart"/>
          </w:tcPr>
          <w:p>
            <w:pPr>
              <w:jc w:val="center"/>
              <w:ind w:right="36"/>
              <w:spacing w:after="0"/>
              <w:rPr>
                <w:sz w:val="20"/>
                <w:szCs w:val="20"/>
                <w:color w:val="auto"/>
              </w:rPr>
            </w:pPr>
            <w:r>
              <w:rPr>
                <w:rFonts w:ascii="Times New Roman" w:cs="Times New Roman" w:eastAsia="Times New Roman" w:hAnsi="Times New Roman"/>
                <w:sz w:val="13"/>
                <w:szCs w:val="13"/>
                <w:color w:val="0000FF"/>
              </w:rPr>
              <w:t>03/31/2027</w:t>
            </w:r>
          </w:p>
        </w:tc>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vMerge w:val="restart"/>
          </w:tcPr>
          <w:p>
            <w:pPr>
              <w:jc w:val="center"/>
              <w:ind w:left="139"/>
              <w:spacing w:after="0"/>
              <w:rPr>
                <w:sz w:val="20"/>
                <w:szCs w:val="20"/>
                <w:color w:val="auto"/>
              </w:rPr>
            </w:pPr>
            <w:r>
              <w:rPr>
                <w:rFonts w:ascii="Times New Roman" w:cs="Times New Roman" w:eastAsia="Times New Roman" w:hAnsi="Times New Roman"/>
                <w:sz w:val="13"/>
                <w:szCs w:val="13"/>
                <w:color w:val="0000FF"/>
                <w:w w:val="95"/>
              </w:rPr>
              <w:t>3,000</w:t>
            </w:r>
          </w:p>
        </w:tc>
        <w:tc>
          <w:tcPr>
            <w:tcW w:w="26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12.2</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1"/>
                <w:szCs w:val="11"/>
                <w:color w:val="008000"/>
              </w:rPr>
              <w:t>(4)</w:t>
            </w:r>
          </w:p>
        </w:tc>
        <w:tc>
          <w:tcPr>
            <w:tcW w:w="780" w:type="dxa"/>
            <w:vAlign w:val="bottom"/>
            <w:gridSpan w:val="2"/>
            <w:vMerge w:val="restart"/>
          </w:tcPr>
          <w:p>
            <w:pPr>
              <w:jc w:val="center"/>
              <w:ind w:right="36"/>
              <w:spacing w:after="0"/>
              <w:rPr>
                <w:sz w:val="20"/>
                <w:szCs w:val="20"/>
                <w:color w:val="auto"/>
              </w:rPr>
            </w:pPr>
            <w:r>
              <w:rPr>
                <w:rFonts w:ascii="Times New Roman" w:cs="Times New Roman" w:eastAsia="Times New Roman" w:hAnsi="Times New Roman"/>
                <w:sz w:val="13"/>
                <w:szCs w:val="13"/>
                <w:color w:val="0000FF"/>
              </w:rPr>
              <w:t>07/31/2026</w:t>
            </w:r>
          </w:p>
        </w:tc>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vMerge w:val="restart"/>
          </w:tcPr>
          <w:p>
            <w:pPr>
              <w:jc w:val="center"/>
              <w:ind w:left="139"/>
              <w:spacing w:after="0"/>
              <w:rPr>
                <w:sz w:val="20"/>
                <w:szCs w:val="20"/>
                <w:color w:val="auto"/>
              </w:rPr>
            </w:pPr>
            <w:r>
              <w:rPr>
                <w:rFonts w:ascii="Times New Roman" w:cs="Times New Roman" w:eastAsia="Times New Roman" w:hAnsi="Times New Roman"/>
                <w:sz w:val="13"/>
                <w:szCs w:val="13"/>
                <w:color w:val="0000FF"/>
                <w:w w:val="95"/>
              </w:rPr>
              <w:t>2,000</w:t>
            </w:r>
          </w:p>
        </w:tc>
        <w:tc>
          <w:tcPr>
            <w:tcW w:w="26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-3520440</wp:posOffset>
            </wp:positionV>
            <wp:extent cx="29210" cy="3525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5255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3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award was granted on August 26, 2024. Each restricted stock unit represents the right to receive, at settlement, one share of common stock. 20,427 restricted stock units subject to the award vested on each of April 1, 2025 and April 1, 2026, and 20,427 restricted stock units are scheduled to vest on April 1, 2027, assuming continued employment through the applicable vesting date.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Air Industries Group to satisfy tax withholding requirements on vesting of restricted stock units. No shares were sold.</w:t>
      </w:r>
    </w:p>
    <w:p>
      <w:pPr>
        <w:spacing w:after="0" w:line="45" w:lineRule="exact"/>
        <w:rPr>
          <w:rFonts w:ascii="Times New Roman" w:cs="Times New Roman" w:eastAsia="Times New Roman" w:hAnsi="Times New Roman"/>
          <w:sz w:val="13"/>
          <w:szCs w:val="13"/>
          <w:color w:val="008000"/>
        </w:rPr>
      </w:pPr>
    </w:p>
    <w:p>
      <w:pPr>
        <w:ind w:left="40" w:right="180" w:firstLine="3"/>
        <w:spacing w:after="0" w:line="23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common stock. The RSUs vested upon grant and shall be settled on the later of: (A) the first anniversary of the Award Date, and (B) the occurrence of a Change in Control, which for purposes of this Award Agreement, must constitute an event described in Treasury Regulation Section 1.409A-3(a)(5); provided, however, that if the event in (B) has not occurred by the date that is the eighteen (18) month anniversary of the Award Date, the vested RSUs shall be settled on the date that is the eighteen (18) month anniversary of the Award Date.</w:t>
      </w:r>
    </w:p>
    <w:p>
      <w:pPr>
        <w:spacing w:after="0" w:line="28"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Fully vested.</w:t>
      </w:r>
    </w:p>
    <w:p>
      <w:pPr>
        <w:spacing w:after="0" w:line="5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Scott Glassman</w:t>
            </w:r>
          </w:p>
        </w:tc>
        <w:tc>
          <w:tcPr>
            <w:tcW w:w="94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04/28/2026</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3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52180" TargetMode="External"/><Relationship Id="rId14" Type="http://schemas.openxmlformats.org/officeDocument/2006/relationships/hyperlink" Target="http://www.sec.gov/cgi-bin/browse-edgar?action=getcompany&amp;CIK=00010098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2026-04-28T17:29:47Z</dcterms:created>
  <dcterms:modified xsi:type="dcterms:W3CDTF">2026-04-28T17:29:47Z</dcterms:modified>
</cp:coreProperties>
</file>