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 SD</w:t>
            </w:r>
          </w:p>
        </w:tc>
        <w:tc>
          <w:tcPr>
            <w:tcW w:w="360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SPECIALIZED DISCLOSURE REPORT</w:t>
            </w:r>
          </w:p>
        </w:tc>
        <w:tc>
          <w:tcPr>
            <w:tcW w:w="360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Air Industries Group</w:t>
            </w: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3600" w:type="dxa"/>
            <w:vAlign w:val="bottom"/>
          </w:tcPr>
          <w:p>
            <w:pPr>
              <w:spacing w:after="0"/>
              <w:rPr>
                <w:sz w:val="20"/>
                <w:szCs w:val="20"/>
                <w:color w:val="auto"/>
              </w:rPr>
            </w:pPr>
          </w:p>
        </w:tc>
      </w:tr>
      <w:tr>
        <w:trPr>
          <w:trHeight w:val="439"/>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001-35927</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80-0948413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39"/>
        </w:trPr>
        <w:tc>
          <w:tcPr>
            <w:tcW w:w="36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1460 Fifth Avenue, Bay Shore New York 11706</w:t>
            </w:r>
          </w:p>
        </w:tc>
        <w:tc>
          <w:tcPr>
            <w:tcW w:w="3600" w:type="dxa"/>
            <w:vAlign w:val="bottom"/>
            <w:tcBorders>
              <w:bottom w:val="single" w:sz="8" w:color="auto"/>
            </w:tcBorders>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spacing w:after="0"/>
              <w:rPr>
                <w:sz w:val="20"/>
                <w:szCs w:val="20"/>
                <w:color w:val="auto"/>
              </w:rPr>
            </w:pPr>
          </w:p>
        </w:tc>
      </w:tr>
      <w:tr>
        <w:trPr>
          <w:trHeight w:val="414"/>
        </w:trPr>
        <w:tc>
          <w:tcPr>
            <w:tcW w:w="7640" w:type="dxa"/>
            <w:vAlign w:val="bottom"/>
            <w:gridSpan w:val="4"/>
          </w:tcPr>
          <w:p>
            <w:pPr>
              <w:ind w:left="1240"/>
              <w:spacing w:after="0"/>
              <w:rPr>
                <w:sz w:val="20"/>
                <w:szCs w:val="20"/>
                <w:color w:val="auto"/>
              </w:rPr>
            </w:pPr>
            <w:r>
              <w:rPr>
                <w:rFonts w:ascii="Times New Roman" w:cs="Times New Roman" w:eastAsia="Times New Roman" w:hAnsi="Times New Roman"/>
                <w:sz w:val="18"/>
                <w:szCs w:val="18"/>
                <w:b w:val="1"/>
                <w:bCs w:val="1"/>
                <w:color w:val="auto"/>
              </w:rPr>
              <w:t>Scott Glassman, Chief Financial Officer</w:t>
            </w:r>
          </w:p>
        </w:tc>
        <w:tc>
          <w:tcPr>
            <w:tcW w:w="3600" w:type="dxa"/>
            <w:vAlign w:val="bottom"/>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(631) 968-5000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1.01 Conflict Minerals Disclosure and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Air Industries’ (the “Company”) Conflict Minerals Report is provided as Exhibit 1.01 to this Form SD and is publicly available on the Company’s website www.airindustriesgroup.com.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Conflict Minerals Report is provided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Conflict Minerals Report as required by Items 1.01 and 1.02 of this Form SD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Scott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Scott Glassman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Acting 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President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May 31, 2026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for the year ended December 31, 2025 is presented to comply with Rule 13p-1 under the Securities Exchange Act of 1934 (the Rule). The Rule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which are necessary to the functionality or production of their products. Conflict Minerals are defined as cassiterite, columbite-tantalite, gold, wolframite, and certain of their derivatives, specifically tin, tantalum, tungsten, and gold (3TG). Certain of the products manufactured by or at the direction of subsidiaries of Air Industries Group contain conflict minerals.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registrant has reason to believe that the conflict minerals used in its products may have originated in the Democratic Republic of the Congo or an adjoining country (the Covered Countries), or from recycled and scrap sources, or if they are unable to determine the country of origin of those conflict minerals, then it must exercise due diligence on the conflict minerals’ source of supply and chain of custody. Each registrant must annually submit a report, Conflict Minerals Report (CMR), to the SEC that includes a description of those due diligence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is not audited as the Rule provides the report need not be subjected to an independent private sector audit.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Overview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has been prepared by management of Air Industries Group (“Air Industries,” the “Company,” “we,” “us,” or “our”). The information includes the activities of all subsidiaries that are required to be consolidated.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Overview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directions of our customers, we design and manufacture aerospace components, principally structural parts and assemblies that focus on flight safety, including landing gear, arresting gear, engine mounts, flight controls, throttle quadrants and other components. We use a variety of metals in our products, certain of which contain conflict minerals. Nevertheless, for the purposes of the initial assessment required by the Dodd-Frank Act, we chose to make inquiries of all of our suppliers at the time of inquiry rather than only those that supply materials used in those products that contain conflict minerals.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Chain Overview</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determine the origin of conflict minerals used in our products, shortly after the adoption of the Rule, we conducted the required Reasonable Country of Origin Inquiry (RCOI). We reached out to our suppliers principally through questionnaires designed to educate our suppliers regarding the relevant, emerging SEC requirements and our expectations. We examined supply chain responses received from certain of our suppliers shortly after the adoption of the Rule which included information on the origin of the conflict minerals and materials that contain conflict minerals supplied to us, including sources supplied to them from sub-tier suppliers. Shortly thereafter, we integrated sourcing of minerals requirements into our Conflict Minerals Policy and advised our suppliers of our policy. Our suppliers are expected to provide sourcing information regarding materials containing conflict minerals to us per our Conflict Minerals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Reasonable Country of Origin Inquiry (RCOI) and RCOI Conclusion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various products that we manufacture are subject to the reporting obligations of Rule 13p-1.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responses we received to the country of origin inquiry we conducted shortly after the adoption of the Rule, the fact that we continue to rely principally on the same suppliers for our raw materials and that much of the raw materials we use is in fact sourced by our customers or from suppliers selected and approved by our customers, we have concluded that our supply chain currently remains “DRC conflict undeterminable”. We reached this conclusion because we have been unable to determine the origin of all of the materials containing conflict minerals used in our manufacturing processes.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Policy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Conflicts Mineral policy statement related to responsible sourcing of materials for our products. The statement is available at www.airindustriesgroup.com.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Diligence Practices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perform direct audits of smelters, refiners or other suppliers of products. We rely upon audits conducted by industry sponsored third parties and supplier self certification as required by the terms of our contracts.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 We Have Taken to Mitigate Risk that Conflict Minerals Benefit Armed Groups.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sourcing materials and products from suppliers that share our values with respect to human rights, environmental responsibility, and ethics, and it is our goal to only source such materials and products that are deemed “conflict free.” We have adopted the standard Conflict Minerals reporting templates established by the Conflict-Free Sourcing Initiative (CFSI) and previously engaged in our suppliers through our conflict minerals due diligence communication survey to encourage them to support the objectives of the U.S. regulations on the supply of “Conflict Minerals”. Further, we have included appropriate certifications regarding their sources of supply in our supplier contracts. We continue to look to third party reports and rely upon the directives of our clients to determine which potential suppliers have been determined to be conflict free and which have been unable to verify the source of their conflict minerals and then avoid doing business with those suppliers which have not been determined to be conflict free by reliable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2026-06-01T09:22:36Z</dcterms:created>
  <dcterms:modified xsi:type="dcterms:W3CDTF">2026-06-01T09:22:36Z</dcterms:modified>
</cp:coreProperties>
</file>