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82298-10k_airindustries.htm"/>
      <w:bookmarkStart w:id="1" w:name="ksea028229810k_airindustries"/>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Transition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 to_______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001-35927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AIR INDUSTRIES GROUP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small business issuer in its charter)</w:t>
      </w:r>
    </w:p>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Nevada</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80-0948413</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595" w:type="dxa"/>
        <w:jc w:val="left"/>
        <w:tblInd w:w="0" w:type="dxa"/>
        <w:tblLayout w:type="fixed"/>
        <w:tblCellMar>
          <w:top w:w="0" w:type="dxa"/>
          <w:left w:w="0" w:type="dxa"/>
          <w:bottom w:w="28" w:type="dxa"/>
          <w:right w:w="0" w:type="dxa"/>
        </w:tblCellMar>
      </w:tblPr>
      <w:tblGrid>
        <w:gridCol w:w="4595"/>
      </w:tblGrid>
      <w:tr>
        <w:trPr/>
        <w:tc>
          <w:tcPr>
            <w:tcW w:w="459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1460 Fifth Avenue, Bay Shore, New York 11706</w:t>
            </w:r>
          </w:p>
        </w:tc>
      </w:tr>
      <w:tr>
        <w:trPr/>
        <w:tc>
          <w:tcPr>
            <w:tcW w:w="4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r>
      <w:tr>
        <w:trPr/>
        <w:tc>
          <w:tcPr>
            <w:tcW w:w="4595" w:type="dxa"/>
            <w:tcBorders/>
            <w:tcMar>
              <w:bottom w:w="0" w:type="dxa"/>
            </w:tcMar>
            <w:vAlign w:val="center"/>
          </w:tcPr>
          <w:p>
            <w:pPr>
              <w:pStyle w:val="TableContents"/>
              <w:bidi w:val="0"/>
              <w:spacing w:before="0" w:after="283"/>
              <w:jc w:val="left"/>
              <w:rPr/>
            </w:pPr>
            <w:r>
              <w:rPr/>
              <w:t> </w:t>
            </w:r>
          </w:p>
        </w:tc>
      </w:tr>
      <w:tr>
        <w:trPr/>
        <w:tc>
          <w:tcPr>
            <w:tcW w:w="459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(631) 968-5000</w:t>
            </w:r>
          </w:p>
        </w:tc>
      </w:tr>
      <w:tr>
        <w:trPr/>
        <w:tc>
          <w:tcPr>
            <w:tcW w:w="4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780"/>
        <w:gridCol w:w="90"/>
        <w:gridCol w:w="1370"/>
        <w:gridCol w:w="90"/>
        <w:gridCol w:w="3755"/>
      </w:tblGrid>
      <w:tr>
        <w:trPr/>
        <w:tc>
          <w:tcPr>
            <w:tcW w:w="278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3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90" w:type="dxa"/>
            <w:tcBorders/>
            <w:tcMar>
              <w:bottom w:w="0" w:type="dxa"/>
            </w:tcMar>
            <w:vAlign w:val="center"/>
          </w:tcPr>
          <w:p>
            <w:pPr>
              <w:pStyle w:val="TableContents"/>
              <w:bidi w:val="0"/>
              <w:spacing w:before="0" w:after="283"/>
              <w:jc w:val="center"/>
              <w:rPr/>
            </w:pPr>
            <w:r>
              <w:rPr/>
              <w:t> </w:t>
            </w:r>
          </w:p>
        </w:tc>
        <w:tc>
          <w:tcPr>
            <w:tcW w:w="37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7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$0.001</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3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AIRI</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7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NYSE-American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180"/>
        <w:gridCol w:w="2645"/>
      </w:tblGrid>
      <w:tr>
        <w:trPr/>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 ☐</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 ☒</w:t>
            </w:r>
          </w:p>
        </w:tc>
      </w:tr>
      <w:tr>
        <w:trPr/>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 ☐</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 ☒</w:t>
            </w:r>
          </w:p>
        </w:tc>
      </w:tr>
      <w:tr>
        <w:trPr/>
        <w:tc>
          <w:tcPr>
            <w:tcW w:w="2180" w:type="dxa"/>
            <w:tcBorders/>
            <w:vAlign w:val="center"/>
          </w:tcPr>
          <w:p>
            <w:pPr>
              <w:pStyle w:val="TableContents"/>
              <w:bidi w:val="0"/>
              <w:spacing w:before="0" w:after="283"/>
              <w:jc w:val="both"/>
              <w:rPr/>
            </w:pPr>
            <w:r>
              <w:rPr/>
              <w:t> </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registrant is a shell company (as defined in Rule 12b-2 of the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aggregate market value of our common stock held by non-affiliates was $9,972,403, based on 2,967,977 shares of outstanding common stock held by non-affiliates, and a price of $3.36 per share, which was the last reported sale price of our common stock on the NYSE American on that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4,781,054 shares of the registrant’s common stock outstanding as of 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2"/>
        <w:gridCol w:w="8392"/>
        <w:gridCol w:w="1011"/>
      </w:tblGrid>
      <w:tr>
        <w:trPr/>
        <w:tc>
          <w:tcPr>
            <w:tcW w:w="802" w:type="dxa"/>
            <w:tcBorders/>
            <w:vAlign w:val="center"/>
          </w:tcPr>
          <w:p>
            <w:pPr>
              <w:pStyle w:val="TableContents"/>
              <w:bidi w:val="0"/>
              <w:spacing w:before="0" w:after="283"/>
              <w:jc w:val="left"/>
              <w:rPr/>
            </w:pPr>
            <w:r>
              <w:rPr/>
              <w:t> </w:t>
            </w:r>
          </w:p>
        </w:tc>
        <w:tc>
          <w:tcPr>
            <w:tcW w:w="8392" w:type="dxa"/>
            <w:tcBorders/>
            <w:vAlign w:val="center"/>
          </w:tcPr>
          <w:p>
            <w:pPr>
              <w:pStyle w:val="TableContents"/>
              <w:bidi w:val="0"/>
              <w:spacing w:before="0" w:after="283"/>
              <w:jc w:val="left"/>
              <w:rPr/>
            </w:pPr>
            <w:r>
              <w:rPr/>
              <w:t> </w:t>
            </w:r>
          </w:p>
        </w:tc>
        <w:tc>
          <w:tcPr>
            <w:tcW w:w="1011" w:type="dxa"/>
            <w:tcBorders>
              <w:bottom w:val="single" w:sz="12" w:space="0" w:color="000000"/>
            </w:tcBorders>
            <w:tcMar>
              <w:bottom w:w="28" w:type="dxa"/>
            </w:tcMar>
            <w:vAlign w:val="center"/>
          </w:tcPr>
          <w:p>
            <w:pPr>
              <w:pStyle w:val="TableContents"/>
              <w:bidi w:val="0"/>
              <w:spacing w:before="0" w:after="283"/>
              <w:jc w:val="center"/>
              <w:rPr>
                <w:b/>
              </w:rPr>
            </w:pPr>
            <w:r>
              <w:rPr>
                <w:b/>
              </w:rPr>
              <w:t>Page No.</w:t>
            </w:r>
          </w:p>
        </w:tc>
      </w:tr>
      <w:tr>
        <w:trPr/>
        <w:tc>
          <w:tcPr>
            <w:tcW w:w="10205" w:type="dxa"/>
            <w:gridSpan w:val="3"/>
            <w:tcBorders/>
            <w:shd w:fill="CCEEFF" w:val="clear"/>
            <w:vAlign w:val="center"/>
          </w:tcPr>
          <w:p>
            <w:pPr>
              <w:pStyle w:val="TableContents"/>
              <w:bidi w:val="0"/>
              <w:spacing w:before="0" w:after="283"/>
              <w:jc w:val="left"/>
              <w:rPr/>
            </w:pPr>
            <w:hyperlink w:anchor="a_026">
              <w:r>
                <w:rPr>
                  <w:rStyle w:val="InternetLink"/>
                  <w:b/>
                </w:rPr>
                <w:t>PART I</w:t>
              </w:r>
            </w:hyperlink>
          </w:p>
        </w:tc>
      </w:tr>
      <w:tr>
        <w:trPr/>
        <w:tc>
          <w:tcPr>
            <w:tcW w:w="802" w:type="dxa"/>
            <w:tcBorders/>
            <w:vAlign w:val="center"/>
          </w:tcPr>
          <w:p>
            <w:pPr>
              <w:pStyle w:val="TableContents"/>
              <w:bidi w:val="0"/>
              <w:spacing w:before="0" w:after="283"/>
              <w:jc w:val="left"/>
              <w:rPr/>
            </w:pPr>
            <w:r>
              <w:rPr/>
              <w:t> </w:t>
            </w:r>
          </w:p>
        </w:tc>
        <w:tc>
          <w:tcPr>
            <w:tcW w:w="8392"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jc w:val="left"/>
              <w:rPr/>
            </w:pPr>
            <w:r>
              <w:rPr/>
              <w:t>Item 1.</w:t>
            </w:r>
          </w:p>
        </w:tc>
        <w:tc>
          <w:tcPr>
            <w:tcW w:w="8392" w:type="dxa"/>
            <w:tcBorders/>
            <w:shd w:fill="CCEEFF" w:val="clear"/>
            <w:vAlign w:val="center"/>
          </w:tcPr>
          <w:p>
            <w:pPr>
              <w:pStyle w:val="TableContents"/>
              <w:bidi w:val="0"/>
              <w:spacing w:before="0" w:after="283"/>
              <w:jc w:val="left"/>
              <w:rPr/>
            </w:pPr>
            <w:hyperlink w:anchor="a_001">
              <w:r>
                <w:rPr>
                  <w:rStyle w:val="InternetLink"/>
                </w:rPr>
                <w:t>Business</w:t>
              </w:r>
            </w:hyperlink>
          </w:p>
        </w:tc>
        <w:tc>
          <w:tcPr>
            <w:tcW w:w="1011" w:type="dxa"/>
            <w:tcBorders/>
            <w:shd w:fill="CCEEFF" w:val="clear"/>
            <w:vAlign w:val="center"/>
          </w:tcPr>
          <w:p>
            <w:pPr>
              <w:pStyle w:val="TableContents"/>
              <w:bidi w:val="0"/>
              <w:spacing w:before="0" w:after="283"/>
              <w:jc w:val="center"/>
              <w:rPr/>
            </w:pPr>
            <w:r>
              <w:rPr/>
              <w:t>1</w:t>
            </w:r>
          </w:p>
        </w:tc>
      </w:tr>
      <w:tr>
        <w:trPr/>
        <w:tc>
          <w:tcPr>
            <w:tcW w:w="802" w:type="dxa"/>
            <w:tcBorders/>
            <w:vAlign w:val="center"/>
          </w:tcPr>
          <w:p>
            <w:pPr>
              <w:pStyle w:val="TableContents"/>
              <w:bidi w:val="0"/>
              <w:spacing w:before="0" w:after="283"/>
              <w:jc w:val="left"/>
              <w:rPr/>
            </w:pPr>
            <w:r>
              <w:rPr/>
              <w:t>Item 1A.</w:t>
            </w:r>
          </w:p>
        </w:tc>
        <w:tc>
          <w:tcPr>
            <w:tcW w:w="8392" w:type="dxa"/>
            <w:tcBorders/>
            <w:vAlign w:val="center"/>
          </w:tcPr>
          <w:p>
            <w:pPr>
              <w:pStyle w:val="TableContents"/>
              <w:bidi w:val="0"/>
              <w:spacing w:before="0" w:after="283"/>
              <w:jc w:val="left"/>
              <w:rPr/>
            </w:pPr>
            <w:hyperlink w:anchor="a_002">
              <w:r>
                <w:rPr>
                  <w:rStyle w:val="InternetLink"/>
                </w:rPr>
                <w:t>Risk Factors</w:t>
              </w:r>
            </w:hyperlink>
          </w:p>
        </w:tc>
        <w:tc>
          <w:tcPr>
            <w:tcW w:w="1011" w:type="dxa"/>
            <w:tcBorders/>
            <w:vAlign w:val="center"/>
          </w:tcPr>
          <w:p>
            <w:pPr>
              <w:pStyle w:val="TableContents"/>
              <w:bidi w:val="0"/>
              <w:spacing w:before="0" w:after="283"/>
              <w:jc w:val="center"/>
              <w:rPr/>
            </w:pPr>
            <w:r>
              <w:rPr/>
              <w:t>7</w:t>
            </w:r>
          </w:p>
        </w:tc>
      </w:tr>
      <w:tr>
        <w:trPr/>
        <w:tc>
          <w:tcPr>
            <w:tcW w:w="802" w:type="dxa"/>
            <w:tcBorders/>
            <w:shd w:fill="CCEEFF" w:val="clear"/>
            <w:vAlign w:val="center"/>
          </w:tcPr>
          <w:p>
            <w:pPr>
              <w:pStyle w:val="TableContents"/>
              <w:bidi w:val="0"/>
              <w:spacing w:before="0" w:after="283"/>
              <w:jc w:val="left"/>
              <w:rPr/>
            </w:pPr>
            <w:r>
              <w:rPr/>
              <w:t>Item 1B.</w:t>
            </w:r>
          </w:p>
        </w:tc>
        <w:tc>
          <w:tcPr>
            <w:tcW w:w="8392" w:type="dxa"/>
            <w:tcBorders/>
            <w:shd w:fill="CCEEFF" w:val="clear"/>
            <w:vAlign w:val="center"/>
          </w:tcPr>
          <w:p>
            <w:pPr>
              <w:pStyle w:val="TableContents"/>
              <w:bidi w:val="0"/>
              <w:spacing w:before="0" w:after="283"/>
              <w:jc w:val="left"/>
              <w:rPr/>
            </w:pPr>
            <w:hyperlink w:anchor="a_003">
              <w:r>
                <w:rPr>
                  <w:rStyle w:val="InternetLink"/>
                </w:rPr>
                <w:t>Unresolved Staff Comments</w:t>
              </w:r>
            </w:hyperlink>
          </w:p>
        </w:tc>
        <w:tc>
          <w:tcPr>
            <w:tcW w:w="1011" w:type="dxa"/>
            <w:tcBorders/>
            <w:shd w:fill="CCEEFF" w:val="clear"/>
            <w:vAlign w:val="center"/>
          </w:tcPr>
          <w:p>
            <w:pPr>
              <w:pStyle w:val="TableContents"/>
              <w:bidi w:val="0"/>
              <w:spacing w:before="0" w:after="283"/>
              <w:jc w:val="center"/>
              <w:rPr/>
            </w:pPr>
            <w:r>
              <w:rPr/>
              <w:t>24</w:t>
            </w:r>
          </w:p>
        </w:tc>
      </w:tr>
      <w:tr>
        <w:trPr/>
        <w:tc>
          <w:tcPr>
            <w:tcW w:w="802" w:type="dxa"/>
            <w:tcBorders/>
            <w:vAlign w:val="center"/>
          </w:tcPr>
          <w:p>
            <w:pPr>
              <w:pStyle w:val="TableContents"/>
              <w:bidi w:val="0"/>
              <w:spacing w:before="0" w:after="283"/>
              <w:jc w:val="left"/>
              <w:rPr/>
            </w:pPr>
            <w:r>
              <w:rPr/>
              <w:t>Item 1C.</w:t>
            </w:r>
          </w:p>
        </w:tc>
        <w:tc>
          <w:tcPr>
            <w:tcW w:w="8392" w:type="dxa"/>
            <w:tcBorders/>
            <w:vAlign w:val="center"/>
          </w:tcPr>
          <w:p>
            <w:pPr>
              <w:pStyle w:val="TableContents"/>
              <w:bidi w:val="0"/>
              <w:spacing w:before="0" w:after="283"/>
              <w:jc w:val="left"/>
              <w:rPr/>
            </w:pPr>
            <w:hyperlink w:anchor="a_004">
              <w:r>
                <w:rPr>
                  <w:rStyle w:val="InternetLink"/>
                </w:rPr>
                <w:t>Cybersecurity</w:t>
              </w:r>
            </w:hyperlink>
          </w:p>
        </w:tc>
        <w:tc>
          <w:tcPr>
            <w:tcW w:w="1011" w:type="dxa"/>
            <w:tcBorders/>
            <w:vAlign w:val="center"/>
          </w:tcPr>
          <w:p>
            <w:pPr>
              <w:pStyle w:val="TableContents"/>
              <w:bidi w:val="0"/>
              <w:spacing w:before="0" w:after="283"/>
              <w:jc w:val="center"/>
              <w:rPr/>
            </w:pPr>
            <w:r>
              <w:rPr/>
              <w:t>24</w:t>
            </w:r>
          </w:p>
        </w:tc>
      </w:tr>
      <w:tr>
        <w:trPr/>
        <w:tc>
          <w:tcPr>
            <w:tcW w:w="802" w:type="dxa"/>
            <w:tcBorders/>
            <w:shd w:fill="CCEEFF" w:val="clear"/>
            <w:vAlign w:val="center"/>
          </w:tcPr>
          <w:p>
            <w:pPr>
              <w:pStyle w:val="TableContents"/>
              <w:bidi w:val="0"/>
              <w:spacing w:before="0" w:after="283"/>
              <w:jc w:val="left"/>
              <w:rPr/>
            </w:pPr>
            <w:r>
              <w:rPr/>
              <w:t>Item 2.</w:t>
            </w:r>
          </w:p>
        </w:tc>
        <w:tc>
          <w:tcPr>
            <w:tcW w:w="8392" w:type="dxa"/>
            <w:tcBorders/>
            <w:shd w:fill="CCEEFF" w:val="clear"/>
            <w:vAlign w:val="center"/>
          </w:tcPr>
          <w:p>
            <w:pPr>
              <w:pStyle w:val="TableContents"/>
              <w:bidi w:val="0"/>
              <w:spacing w:before="0" w:after="283"/>
              <w:jc w:val="left"/>
              <w:rPr/>
            </w:pPr>
            <w:hyperlink w:anchor="a_005">
              <w:r>
                <w:rPr>
                  <w:rStyle w:val="InternetLink"/>
                </w:rPr>
                <w:t>Properties</w:t>
              </w:r>
            </w:hyperlink>
          </w:p>
        </w:tc>
        <w:tc>
          <w:tcPr>
            <w:tcW w:w="1011" w:type="dxa"/>
            <w:tcBorders/>
            <w:shd w:fill="CCEEFF" w:val="clear"/>
            <w:vAlign w:val="center"/>
          </w:tcPr>
          <w:p>
            <w:pPr>
              <w:pStyle w:val="TableContents"/>
              <w:bidi w:val="0"/>
              <w:spacing w:before="0" w:after="283"/>
              <w:jc w:val="center"/>
              <w:rPr/>
            </w:pPr>
            <w:r>
              <w:rPr/>
              <w:t>25</w:t>
            </w:r>
          </w:p>
        </w:tc>
      </w:tr>
      <w:tr>
        <w:trPr/>
        <w:tc>
          <w:tcPr>
            <w:tcW w:w="802" w:type="dxa"/>
            <w:tcBorders/>
            <w:vAlign w:val="center"/>
          </w:tcPr>
          <w:p>
            <w:pPr>
              <w:pStyle w:val="TableContents"/>
              <w:bidi w:val="0"/>
              <w:spacing w:before="0" w:after="283"/>
              <w:jc w:val="left"/>
              <w:rPr/>
            </w:pPr>
            <w:r>
              <w:rPr/>
              <w:t>Item 3.</w:t>
            </w:r>
          </w:p>
        </w:tc>
        <w:tc>
          <w:tcPr>
            <w:tcW w:w="8392" w:type="dxa"/>
            <w:tcBorders/>
            <w:vAlign w:val="center"/>
          </w:tcPr>
          <w:p>
            <w:pPr>
              <w:pStyle w:val="TableContents"/>
              <w:bidi w:val="0"/>
              <w:spacing w:before="0" w:after="283"/>
              <w:jc w:val="left"/>
              <w:rPr/>
            </w:pPr>
            <w:hyperlink w:anchor="a_006">
              <w:r>
                <w:rPr>
                  <w:rStyle w:val="InternetLink"/>
                </w:rPr>
                <w:t>Legal Proceedings</w:t>
              </w:r>
            </w:hyperlink>
          </w:p>
        </w:tc>
        <w:tc>
          <w:tcPr>
            <w:tcW w:w="1011" w:type="dxa"/>
            <w:tcBorders/>
            <w:vAlign w:val="center"/>
          </w:tcPr>
          <w:p>
            <w:pPr>
              <w:pStyle w:val="TableContents"/>
              <w:bidi w:val="0"/>
              <w:spacing w:before="0" w:after="283"/>
              <w:jc w:val="center"/>
              <w:rPr/>
            </w:pPr>
            <w:r>
              <w:rPr/>
              <w:t>25</w:t>
            </w:r>
          </w:p>
        </w:tc>
      </w:tr>
      <w:tr>
        <w:trPr/>
        <w:tc>
          <w:tcPr>
            <w:tcW w:w="802" w:type="dxa"/>
            <w:tcBorders/>
            <w:shd w:fill="CCEEFF" w:val="clear"/>
            <w:vAlign w:val="center"/>
          </w:tcPr>
          <w:p>
            <w:pPr>
              <w:pStyle w:val="TableContents"/>
              <w:bidi w:val="0"/>
              <w:spacing w:before="0" w:after="283"/>
              <w:jc w:val="left"/>
              <w:rPr/>
            </w:pPr>
            <w:r>
              <w:rPr/>
              <w:t>Item 4.</w:t>
            </w:r>
          </w:p>
        </w:tc>
        <w:tc>
          <w:tcPr>
            <w:tcW w:w="8392" w:type="dxa"/>
            <w:tcBorders/>
            <w:shd w:fill="CCEEFF" w:val="clear"/>
            <w:vAlign w:val="center"/>
          </w:tcPr>
          <w:p>
            <w:pPr>
              <w:pStyle w:val="TableContents"/>
              <w:bidi w:val="0"/>
              <w:spacing w:before="0" w:after="283"/>
              <w:jc w:val="left"/>
              <w:rPr/>
            </w:pPr>
            <w:hyperlink w:anchor="a_007">
              <w:r>
                <w:rPr>
                  <w:rStyle w:val="InternetLink"/>
                </w:rPr>
                <w:t>Mine Safety Disclosures</w:t>
              </w:r>
            </w:hyperlink>
          </w:p>
        </w:tc>
        <w:tc>
          <w:tcPr>
            <w:tcW w:w="1011" w:type="dxa"/>
            <w:tcBorders/>
            <w:shd w:fill="CCEEFF" w:val="clear"/>
            <w:vAlign w:val="center"/>
          </w:tcPr>
          <w:p>
            <w:pPr>
              <w:pStyle w:val="TableContents"/>
              <w:bidi w:val="0"/>
              <w:spacing w:before="0" w:after="283"/>
              <w:jc w:val="center"/>
              <w:rPr/>
            </w:pPr>
            <w:r>
              <w:rPr/>
              <w:t>25</w:t>
            </w:r>
          </w:p>
        </w:tc>
      </w:tr>
      <w:tr>
        <w:trPr/>
        <w:tc>
          <w:tcPr>
            <w:tcW w:w="802" w:type="dxa"/>
            <w:tcBorders/>
            <w:vAlign w:val="center"/>
          </w:tcPr>
          <w:p>
            <w:pPr>
              <w:pStyle w:val="TableContents"/>
              <w:bidi w:val="0"/>
              <w:spacing w:before="0" w:after="283"/>
              <w:jc w:val="left"/>
              <w:rPr/>
            </w:pPr>
            <w:r>
              <w:rPr/>
              <w:t> </w:t>
            </w:r>
          </w:p>
        </w:tc>
        <w:tc>
          <w:tcPr>
            <w:tcW w:w="8392"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center"/>
              <w:rPr/>
            </w:pPr>
            <w:r>
              <w:rPr/>
              <w:t> </w:t>
            </w:r>
          </w:p>
        </w:tc>
      </w:tr>
      <w:tr>
        <w:trPr/>
        <w:tc>
          <w:tcPr>
            <w:tcW w:w="9194" w:type="dxa"/>
            <w:gridSpan w:val="2"/>
            <w:tcBorders/>
            <w:shd w:fill="CCEEFF" w:val="clear"/>
            <w:vAlign w:val="center"/>
          </w:tcPr>
          <w:p>
            <w:pPr>
              <w:pStyle w:val="TableContents"/>
              <w:bidi w:val="0"/>
              <w:spacing w:before="0" w:after="283"/>
              <w:jc w:val="left"/>
              <w:rPr/>
            </w:pPr>
            <w:hyperlink w:anchor="a_008">
              <w:r>
                <w:rPr>
                  <w:rStyle w:val="InternetLink"/>
                  <w:b/>
                </w:rPr>
                <w:t>PART II</w:t>
              </w:r>
            </w:hyperlink>
          </w:p>
        </w:tc>
        <w:tc>
          <w:tcPr>
            <w:tcW w:w="1011" w:type="dxa"/>
            <w:tcBorders/>
            <w:shd w:fill="CCEEFF" w:val="clear"/>
            <w:vAlign w:val="center"/>
          </w:tcPr>
          <w:p>
            <w:pPr>
              <w:pStyle w:val="TableContents"/>
              <w:bidi w:val="0"/>
              <w:spacing w:before="0" w:after="283"/>
              <w:jc w:val="center"/>
              <w:rPr/>
            </w:pPr>
            <w:r>
              <w:rPr/>
              <w:t> </w:t>
            </w:r>
          </w:p>
        </w:tc>
      </w:tr>
      <w:tr>
        <w:trPr/>
        <w:tc>
          <w:tcPr>
            <w:tcW w:w="802" w:type="dxa"/>
            <w:tcBorders/>
            <w:vAlign w:val="center"/>
          </w:tcPr>
          <w:p>
            <w:pPr>
              <w:pStyle w:val="TableContents"/>
              <w:bidi w:val="0"/>
              <w:spacing w:before="0" w:after="283"/>
              <w:jc w:val="left"/>
              <w:rPr/>
            </w:pPr>
            <w:r>
              <w:rPr/>
              <w:t> </w:t>
            </w:r>
          </w:p>
        </w:tc>
        <w:tc>
          <w:tcPr>
            <w:tcW w:w="8392"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jc w:val="left"/>
              <w:rPr/>
            </w:pPr>
            <w:r>
              <w:rPr/>
              <w:t>Item 5.</w:t>
            </w:r>
          </w:p>
        </w:tc>
        <w:tc>
          <w:tcPr>
            <w:tcW w:w="8392" w:type="dxa"/>
            <w:tcBorders/>
            <w:shd w:fill="CCEEFF" w:val="clear"/>
            <w:vAlign w:val="center"/>
          </w:tcPr>
          <w:p>
            <w:pPr>
              <w:pStyle w:val="TableContents"/>
              <w:bidi w:val="0"/>
              <w:spacing w:before="0" w:after="283"/>
              <w:jc w:val="left"/>
              <w:rPr/>
            </w:pPr>
            <w:hyperlink w:anchor="a_009">
              <w:r>
                <w:rPr>
                  <w:rStyle w:val="InternetLink"/>
                </w:rPr>
                <w:t>Market for Registrant’s Common Equity, Related Stockholder Matters and Issuer Purchases of Equity Securities</w:t>
              </w:r>
            </w:hyperlink>
          </w:p>
        </w:tc>
        <w:tc>
          <w:tcPr>
            <w:tcW w:w="1011" w:type="dxa"/>
            <w:tcBorders/>
            <w:shd w:fill="CCEEFF" w:val="clear"/>
            <w:vAlign w:val="center"/>
          </w:tcPr>
          <w:p>
            <w:pPr>
              <w:pStyle w:val="TableContents"/>
              <w:bidi w:val="0"/>
              <w:spacing w:before="0" w:after="283"/>
              <w:jc w:val="center"/>
              <w:rPr/>
            </w:pPr>
            <w:r>
              <w:rPr/>
              <w:t>26</w:t>
            </w:r>
          </w:p>
        </w:tc>
      </w:tr>
      <w:tr>
        <w:trPr/>
        <w:tc>
          <w:tcPr>
            <w:tcW w:w="802" w:type="dxa"/>
            <w:tcBorders/>
            <w:vAlign w:val="center"/>
          </w:tcPr>
          <w:p>
            <w:pPr>
              <w:pStyle w:val="TableContents"/>
              <w:bidi w:val="0"/>
              <w:spacing w:before="0" w:after="283"/>
              <w:jc w:val="left"/>
              <w:rPr/>
            </w:pPr>
            <w:r>
              <w:rPr/>
              <w:t>Item 6.</w:t>
            </w:r>
          </w:p>
        </w:tc>
        <w:tc>
          <w:tcPr>
            <w:tcW w:w="8392" w:type="dxa"/>
            <w:tcBorders/>
            <w:vAlign w:val="center"/>
          </w:tcPr>
          <w:p>
            <w:pPr>
              <w:pStyle w:val="TableContents"/>
              <w:bidi w:val="0"/>
              <w:spacing w:before="0" w:after="283"/>
              <w:jc w:val="left"/>
              <w:rPr/>
            </w:pPr>
            <w:hyperlink w:anchor="a_010">
              <w:r>
                <w:rPr>
                  <w:rStyle w:val="InternetLink"/>
                </w:rPr>
                <w:t>[Reserved]</w:t>
              </w:r>
            </w:hyperlink>
          </w:p>
        </w:tc>
        <w:tc>
          <w:tcPr>
            <w:tcW w:w="1011" w:type="dxa"/>
            <w:tcBorders/>
            <w:vAlign w:val="center"/>
          </w:tcPr>
          <w:p>
            <w:pPr>
              <w:pStyle w:val="TableContents"/>
              <w:bidi w:val="0"/>
              <w:spacing w:before="0" w:after="283"/>
              <w:jc w:val="center"/>
              <w:rPr/>
            </w:pPr>
            <w:r>
              <w:rPr/>
              <w:t>26</w:t>
            </w:r>
          </w:p>
        </w:tc>
      </w:tr>
      <w:tr>
        <w:trPr/>
        <w:tc>
          <w:tcPr>
            <w:tcW w:w="802" w:type="dxa"/>
            <w:tcBorders/>
            <w:shd w:fill="CCEEFF" w:val="clear"/>
            <w:vAlign w:val="center"/>
          </w:tcPr>
          <w:p>
            <w:pPr>
              <w:pStyle w:val="TableContents"/>
              <w:bidi w:val="0"/>
              <w:spacing w:before="0" w:after="283"/>
              <w:jc w:val="left"/>
              <w:rPr/>
            </w:pPr>
            <w:r>
              <w:rPr/>
              <w:t>Item 7.</w:t>
            </w:r>
          </w:p>
        </w:tc>
        <w:tc>
          <w:tcPr>
            <w:tcW w:w="8392" w:type="dxa"/>
            <w:tcBorders/>
            <w:shd w:fill="CCEEFF" w:val="clear"/>
            <w:vAlign w:val="center"/>
          </w:tcPr>
          <w:p>
            <w:pPr>
              <w:pStyle w:val="TableContents"/>
              <w:bidi w:val="0"/>
              <w:spacing w:before="0" w:after="283"/>
              <w:jc w:val="left"/>
              <w:rPr/>
            </w:pPr>
            <w:hyperlink w:anchor="a_011">
              <w:r>
                <w:rPr>
                  <w:rStyle w:val="InternetLink"/>
                </w:rPr>
                <w:t>Management’s Discussion and Analysis of Financial Condition and Results of Operation</w:t>
              </w:r>
            </w:hyperlink>
          </w:p>
        </w:tc>
        <w:tc>
          <w:tcPr>
            <w:tcW w:w="1011" w:type="dxa"/>
            <w:tcBorders/>
            <w:shd w:fill="CCEEFF" w:val="clear"/>
            <w:vAlign w:val="center"/>
          </w:tcPr>
          <w:p>
            <w:pPr>
              <w:pStyle w:val="TableContents"/>
              <w:bidi w:val="0"/>
              <w:spacing w:before="0" w:after="283"/>
              <w:jc w:val="center"/>
              <w:rPr/>
            </w:pPr>
            <w:r>
              <w:rPr/>
              <w:t>27</w:t>
            </w:r>
          </w:p>
        </w:tc>
      </w:tr>
      <w:tr>
        <w:trPr/>
        <w:tc>
          <w:tcPr>
            <w:tcW w:w="802" w:type="dxa"/>
            <w:tcBorders/>
            <w:vAlign w:val="center"/>
          </w:tcPr>
          <w:p>
            <w:pPr>
              <w:pStyle w:val="TableContents"/>
              <w:bidi w:val="0"/>
              <w:spacing w:before="0" w:after="283"/>
              <w:jc w:val="left"/>
              <w:rPr/>
            </w:pPr>
            <w:r>
              <w:rPr/>
              <w:t>Item 7A.</w:t>
            </w:r>
          </w:p>
        </w:tc>
        <w:tc>
          <w:tcPr>
            <w:tcW w:w="8392" w:type="dxa"/>
            <w:tcBorders/>
            <w:vAlign w:val="center"/>
          </w:tcPr>
          <w:p>
            <w:pPr>
              <w:pStyle w:val="TableContents"/>
              <w:bidi w:val="0"/>
              <w:spacing w:before="0" w:after="283"/>
              <w:jc w:val="left"/>
              <w:rPr/>
            </w:pPr>
            <w:hyperlink w:anchor="a_012">
              <w:r>
                <w:rPr>
                  <w:rStyle w:val="InternetLink"/>
                </w:rPr>
                <w:t>Quantitative and Qualitative Disclosure About Market Risk</w:t>
              </w:r>
            </w:hyperlink>
          </w:p>
        </w:tc>
        <w:tc>
          <w:tcPr>
            <w:tcW w:w="1011" w:type="dxa"/>
            <w:tcBorders/>
            <w:vAlign w:val="center"/>
          </w:tcPr>
          <w:p>
            <w:pPr>
              <w:pStyle w:val="TableContents"/>
              <w:bidi w:val="0"/>
              <w:spacing w:before="0" w:after="283"/>
              <w:jc w:val="center"/>
              <w:rPr/>
            </w:pPr>
            <w:r>
              <w:rPr/>
              <w:t>33</w:t>
            </w:r>
          </w:p>
        </w:tc>
      </w:tr>
      <w:tr>
        <w:trPr/>
        <w:tc>
          <w:tcPr>
            <w:tcW w:w="802" w:type="dxa"/>
            <w:tcBorders/>
            <w:shd w:fill="CCEEFF" w:val="clear"/>
            <w:vAlign w:val="center"/>
          </w:tcPr>
          <w:p>
            <w:pPr>
              <w:pStyle w:val="TableContents"/>
              <w:bidi w:val="0"/>
              <w:spacing w:before="0" w:after="283"/>
              <w:jc w:val="left"/>
              <w:rPr/>
            </w:pPr>
            <w:r>
              <w:rPr/>
              <w:t>Item 8.</w:t>
            </w:r>
          </w:p>
        </w:tc>
        <w:tc>
          <w:tcPr>
            <w:tcW w:w="8392" w:type="dxa"/>
            <w:tcBorders/>
            <w:shd w:fill="CCEEFF" w:val="clear"/>
            <w:vAlign w:val="center"/>
          </w:tcPr>
          <w:p>
            <w:pPr>
              <w:pStyle w:val="TableContents"/>
              <w:bidi w:val="0"/>
              <w:spacing w:before="0" w:after="283"/>
              <w:jc w:val="left"/>
              <w:rPr/>
            </w:pPr>
            <w:hyperlink w:anchor="a_013">
              <w:r>
                <w:rPr>
                  <w:rStyle w:val="InternetLink"/>
                </w:rPr>
                <w:t>Financial Statements and Supplementary Data</w:t>
              </w:r>
            </w:hyperlink>
          </w:p>
        </w:tc>
        <w:tc>
          <w:tcPr>
            <w:tcW w:w="1011" w:type="dxa"/>
            <w:tcBorders/>
            <w:shd w:fill="CCEEFF" w:val="clear"/>
            <w:vAlign w:val="center"/>
          </w:tcPr>
          <w:p>
            <w:pPr>
              <w:pStyle w:val="TableContents"/>
              <w:bidi w:val="0"/>
              <w:spacing w:before="0" w:after="283"/>
              <w:jc w:val="center"/>
              <w:rPr/>
            </w:pPr>
            <w:r>
              <w:rPr/>
              <w:t>33</w:t>
            </w:r>
          </w:p>
        </w:tc>
      </w:tr>
      <w:tr>
        <w:trPr/>
        <w:tc>
          <w:tcPr>
            <w:tcW w:w="802" w:type="dxa"/>
            <w:tcBorders/>
            <w:vAlign w:val="center"/>
          </w:tcPr>
          <w:p>
            <w:pPr>
              <w:pStyle w:val="TableContents"/>
              <w:bidi w:val="0"/>
              <w:spacing w:before="0" w:after="283"/>
              <w:jc w:val="left"/>
              <w:rPr/>
            </w:pPr>
            <w:r>
              <w:rPr/>
              <w:t>Item 9.</w:t>
            </w:r>
          </w:p>
        </w:tc>
        <w:tc>
          <w:tcPr>
            <w:tcW w:w="8392" w:type="dxa"/>
            <w:tcBorders/>
            <w:vAlign w:val="center"/>
          </w:tcPr>
          <w:p>
            <w:pPr>
              <w:pStyle w:val="TableContents"/>
              <w:bidi w:val="0"/>
              <w:spacing w:before="0" w:after="283"/>
              <w:jc w:val="left"/>
              <w:rPr/>
            </w:pPr>
            <w:hyperlink w:anchor="a_014">
              <w:r>
                <w:rPr>
                  <w:rStyle w:val="InternetLink"/>
                </w:rPr>
                <w:t>Changes in and Disagreements with Accountants on Accounting and Financial Disclosure</w:t>
              </w:r>
            </w:hyperlink>
          </w:p>
        </w:tc>
        <w:tc>
          <w:tcPr>
            <w:tcW w:w="1011" w:type="dxa"/>
            <w:tcBorders/>
            <w:vAlign w:val="center"/>
          </w:tcPr>
          <w:p>
            <w:pPr>
              <w:pStyle w:val="TableContents"/>
              <w:bidi w:val="0"/>
              <w:spacing w:before="0" w:after="283"/>
              <w:jc w:val="center"/>
              <w:rPr/>
            </w:pPr>
            <w:r>
              <w:rPr/>
              <w:t>34</w:t>
            </w:r>
          </w:p>
        </w:tc>
      </w:tr>
      <w:tr>
        <w:trPr/>
        <w:tc>
          <w:tcPr>
            <w:tcW w:w="802" w:type="dxa"/>
            <w:tcBorders/>
            <w:shd w:fill="CCEEFF" w:val="clear"/>
            <w:vAlign w:val="center"/>
          </w:tcPr>
          <w:p>
            <w:pPr>
              <w:pStyle w:val="TableContents"/>
              <w:bidi w:val="0"/>
              <w:spacing w:before="0" w:after="283"/>
              <w:jc w:val="left"/>
              <w:rPr/>
            </w:pPr>
            <w:r>
              <w:rPr/>
              <w:t>Item 9A.</w:t>
            </w:r>
          </w:p>
        </w:tc>
        <w:tc>
          <w:tcPr>
            <w:tcW w:w="8392" w:type="dxa"/>
            <w:tcBorders/>
            <w:shd w:fill="CCEEFF" w:val="clear"/>
            <w:vAlign w:val="center"/>
          </w:tcPr>
          <w:p>
            <w:pPr>
              <w:pStyle w:val="TableContents"/>
              <w:bidi w:val="0"/>
              <w:spacing w:before="0" w:after="283"/>
              <w:jc w:val="left"/>
              <w:rPr/>
            </w:pPr>
            <w:hyperlink w:anchor="a_015">
              <w:r>
                <w:rPr>
                  <w:rStyle w:val="InternetLink"/>
                </w:rPr>
                <w:t>Controls and Procedures</w:t>
              </w:r>
            </w:hyperlink>
          </w:p>
        </w:tc>
        <w:tc>
          <w:tcPr>
            <w:tcW w:w="1011" w:type="dxa"/>
            <w:tcBorders/>
            <w:shd w:fill="CCEEFF" w:val="clear"/>
            <w:vAlign w:val="center"/>
          </w:tcPr>
          <w:p>
            <w:pPr>
              <w:pStyle w:val="TableContents"/>
              <w:bidi w:val="0"/>
              <w:spacing w:before="0" w:after="283"/>
              <w:jc w:val="center"/>
              <w:rPr/>
            </w:pPr>
            <w:r>
              <w:rPr/>
              <w:t>34</w:t>
            </w:r>
          </w:p>
        </w:tc>
      </w:tr>
      <w:tr>
        <w:trPr/>
        <w:tc>
          <w:tcPr>
            <w:tcW w:w="802" w:type="dxa"/>
            <w:tcBorders/>
            <w:vAlign w:val="center"/>
          </w:tcPr>
          <w:p>
            <w:pPr>
              <w:pStyle w:val="TableContents"/>
              <w:bidi w:val="0"/>
              <w:spacing w:before="0" w:after="283"/>
              <w:jc w:val="left"/>
              <w:rPr/>
            </w:pPr>
            <w:r>
              <w:rPr/>
              <w:t>Item 9B.</w:t>
            </w:r>
          </w:p>
        </w:tc>
        <w:tc>
          <w:tcPr>
            <w:tcW w:w="8392" w:type="dxa"/>
            <w:tcBorders/>
            <w:vAlign w:val="center"/>
          </w:tcPr>
          <w:p>
            <w:pPr>
              <w:pStyle w:val="TableContents"/>
              <w:bidi w:val="0"/>
              <w:spacing w:before="0" w:after="283"/>
              <w:jc w:val="left"/>
              <w:rPr/>
            </w:pPr>
            <w:hyperlink w:anchor="a_016">
              <w:r>
                <w:rPr>
                  <w:rStyle w:val="InternetLink"/>
                </w:rPr>
                <w:t>Other Information</w:t>
              </w:r>
            </w:hyperlink>
          </w:p>
        </w:tc>
        <w:tc>
          <w:tcPr>
            <w:tcW w:w="1011" w:type="dxa"/>
            <w:tcBorders/>
            <w:vAlign w:val="center"/>
          </w:tcPr>
          <w:p>
            <w:pPr>
              <w:pStyle w:val="TableContents"/>
              <w:bidi w:val="0"/>
              <w:spacing w:before="0" w:after="283"/>
              <w:jc w:val="center"/>
              <w:rPr/>
            </w:pPr>
            <w:r>
              <w:rPr/>
              <w:t>35</w:t>
            </w:r>
          </w:p>
        </w:tc>
      </w:tr>
      <w:tr>
        <w:trPr/>
        <w:tc>
          <w:tcPr>
            <w:tcW w:w="802" w:type="dxa"/>
            <w:tcBorders/>
            <w:shd w:fill="CCEEFF" w:val="clear"/>
            <w:vAlign w:val="center"/>
          </w:tcPr>
          <w:p>
            <w:pPr>
              <w:pStyle w:val="TableContents"/>
              <w:bidi w:val="0"/>
              <w:spacing w:before="0" w:after="283"/>
              <w:jc w:val="left"/>
              <w:rPr/>
            </w:pPr>
            <w:r>
              <w:rPr/>
              <w:t>Item 9C.</w:t>
            </w:r>
          </w:p>
        </w:tc>
        <w:tc>
          <w:tcPr>
            <w:tcW w:w="8392" w:type="dxa"/>
            <w:tcBorders/>
            <w:shd w:fill="CCEEFF" w:val="clear"/>
            <w:vAlign w:val="center"/>
          </w:tcPr>
          <w:p>
            <w:pPr>
              <w:pStyle w:val="TableContents"/>
              <w:bidi w:val="0"/>
              <w:spacing w:before="0" w:after="283"/>
              <w:jc w:val="left"/>
              <w:rPr/>
            </w:pPr>
            <w:hyperlink w:anchor="a_017">
              <w:r>
                <w:rPr>
                  <w:rStyle w:val="InternetLink"/>
                </w:rPr>
                <w:t>Disclosure Regarding Foreign Jurisdictions that Prevent Inspections</w:t>
              </w:r>
            </w:hyperlink>
          </w:p>
        </w:tc>
        <w:tc>
          <w:tcPr>
            <w:tcW w:w="1011" w:type="dxa"/>
            <w:tcBorders/>
            <w:shd w:fill="CCEEFF" w:val="clear"/>
            <w:vAlign w:val="center"/>
          </w:tcPr>
          <w:p>
            <w:pPr>
              <w:pStyle w:val="TableContents"/>
              <w:bidi w:val="0"/>
              <w:spacing w:before="0" w:after="283"/>
              <w:jc w:val="center"/>
              <w:rPr/>
            </w:pPr>
            <w:r>
              <w:rPr/>
              <w:t>35</w:t>
            </w:r>
          </w:p>
        </w:tc>
      </w:tr>
      <w:tr>
        <w:trPr/>
        <w:tc>
          <w:tcPr>
            <w:tcW w:w="802" w:type="dxa"/>
            <w:tcBorders/>
            <w:vAlign w:val="center"/>
          </w:tcPr>
          <w:p>
            <w:pPr>
              <w:pStyle w:val="TableContents"/>
              <w:bidi w:val="0"/>
              <w:spacing w:before="0" w:after="283"/>
              <w:jc w:val="left"/>
              <w:rPr/>
            </w:pPr>
            <w:r>
              <w:rPr/>
              <w:t> </w:t>
            </w:r>
          </w:p>
        </w:tc>
        <w:tc>
          <w:tcPr>
            <w:tcW w:w="8392"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center"/>
              <w:rPr/>
            </w:pPr>
            <w:r>
              <w:rPr/>
              <w:t> </w:t>
            </w:r>
          </w:p>
        </w:tc>
      </w:tr>
      <w:tr>
        <w:trPr/>
        <w:tc>
          <w:tcPr>
            <w:tcW w:w="9194" w:type="dxa"/>
            <w:gridSpan w:val="2"/>
            <w:tcBorders/>
            <w:shd w:fill="CCEEFF" w:val="clear"/>
            <w:vAlign w:val="center"/>
          </w:tcPr>
          <w:p>
            <w:pPr>
              <w:pStyle w:val="TableContents"/>
              <w:bidi w:val="0"/>
              <w:spacing w:before="0" w:after="283"/>
              <w:jc w:val="left"/>
              <w:rPr/>
            </w:pPr>
            <w:hyperlink w:anchor="a_027">
              <w:r>
                <w:rPr>
                  <w:rStyle w:val="InternetLink"/>
                  <w:b/>
                </w:rPr>
                <w:t>PART III</w:t>
              </w:r>
            </w:hyperlink>
          </w:p>
        </w:tc>
        <w:tc>
          <w:tcPr>
            <w:tcW w:w="1011" w:type="dxa"/>
            <w:tcBorders/>
            <w:shd w:fill="CCEEFF" w:val="clear"/>
            <w:vAlign w:val="center"/>
          </w:tcPr>
          <w:p>
            <w:pPr>
              <w:pStyle w:val="TableContents"/>
              <w:bidi w:val="0"/>
              <w:spacing w:before="0" w:after="283"/>
              <w:jc w:val="center"/>
              <w:rPr/>
            </w:pPr>
            <w:r>
              <w:rPr/>
              <w:t> </w:t>
            </w:r>
          </w:p>
        </w:tc>
      </w:tr>
      <w:tr>
        <w:trPr/>
        <w:tc>
          <w:tcPr>
            <w:tcW w:w="802" w:type="dxa"/>
            <w:tcBorders/>
            <w:vAlign w:val="center"/>
          </w:tcPr>
          <w:p>
            <w:pPr>
              <w:pStyle w:val="TableContents"/>
              <w:bidi w:val="0"/>
              <w:spacing w:before="0" w:after="283"/>
              <w:jc w:val="left"/>
              <w:rPr/>
            </w:pPr>
            <w:r>
              <w:rPr/>
              <w:t> </w:t>
            </w:r>
          </w:p>
        </w:tc>
        <w:tc>
          <w:tcPr>
            <w:tcW w:w="8392"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jc w:val="left"/>
              <w:rPr/>
            </w:pPr>
            <w:r>
              <w:rPr/>
              <w:t>Item 10.</w:t>
            </w:r>
          </w:p>
        </w:tc>
        <w:tc>
          <w:tcPr>
            <w:tcW w:w="8392" w:type="dxa"/>
            <w:tcBorders/>
            <w:shd w:fill="CCEEFF" w:val="clear"/>
            <w:vAlign w:val="center"/>
          </w:tcPr>
          <w:p>
            <w:pPr>
              <w:pStyle w:val="TableContents"/>
              <w:bidi w:val="0"/>
              <w:spacing w:before="0" w:after="283"/>
              <w:jc w:val="left"/>
              <w:rPr/>
            </w:pPr>
            <w:hyperlink w:anchor="a_018">
              <w:r>
                <w:rPr>
                  <w:rStyle w:val="InternetLink"/>
                </w:rPr>
                <w:t>Directors, Executive Officers, and Corporate Governance</w:t>
              </w:r>
            </w:hyperlink>
          </w:p>
        </w:tc>
        <w:tc>
          <w:tcPr>
            <w:tcW w:w="1011" w:type="dxa"/>
            <w:tcBorders/>
            <w:shd w:fill="CCEEFF" w:val="clear"/>
            <w:vAlign w:val="center"/>
          </w:tcPr>
          <w:p>
            <w:pPr>
              <w:pStyle w:val="TableContents"/>
              <w:bidi w:val="0"/>
              <w:spacing w:before="0" w:after="283"/>
              <w:jc w:val="center"/>
              <w:rPr/>
            </w:pPr>
            <w:r>
              <w:rPr/>
              <w:t>36</w:t>
            </w:r>
          </w:p>
        </w:tc>
      </w:tr>
      <w:tr>
        <w:trPr/>
        <w:tc>
          <w:tcPr>
            <w:tcW w:w="802" w:type="dxa"/>
            <w:tcBorders/>
            <w:vAlign w:val="center"/>
          </w:tcPr>
          <w:p>
            <w:pPr>
              <w:pStyle w:val="TableContents"/>
              <w:bidi w:val="0"/>
              <w:spacing w:before="0" w:after="283"/>
              <w:jc w:val="left"/>
              <w:rPr/>
            </w:pPr>
            <w:r>
              <w:rPr/>
              <w:t>Item 11.</w:t>
            </w:r>
          </w:p>
        </w:tc>
        <w:tc>
          <w:tcPr>
            <w:tcW w:w="8392" w:type="dxa"/>
            <w:tcBorders/>
            <w:vAlign w:val="center"/>
          </w:tcPr>
          <w:p>
            <w:pPr>
              <w:pStyle w:val="TableContents"/>
              <w:bidi w:val="0"/>
              <w:spacing w:before="0" w:after="283"/>
              <w:jc w:val="left"/>
              <w:rPr/>
            </w:pPr>
            <w:hyperlink w:anchor="a_019">
              <w:r>
                <w:rPr>
                  <w:rStyle w:val="InternetLink"/>
                </w:rPr>
                <w:t>Executive Compensation</w:t>
              </w:r>
            </w:hyperlink>
          </w:p>
        </w:tc>
        <w:tc>
          <w:tcPr>
            <w:tcW w:w="1011" w:type="dxa"/>
            <w:tcBorders/>
            <w:vAlign w:val="center"/>
          </w:tcPr>
          <w:p>
            <w:pPr>
              <w:pStyle w:val="TableContents"/>
              <w:bidi w:val="0"/>
              <w:spacing w:before="0" w:after="283"/>
              <w:jc w:val="center"/>
              <w:rPr/>
            </w:pPr>
            <w:r>
              <w:rPr/>
              <w:t>41</w:t>
            </w:r>
          </w:p>
        </w:tc>
      </w:tr>
      <w:tr>
        <w:trPr/>
        <w:tc>
          <w:tcPr>
            <w:tcW w:w="802" w:type="dxa"/>
            <w:tcBorders/>
            <w:shd w:fill="CCEEFF" w:val="clear"/>
            <w:vAlign w:val="center"/>
          </w:tcPr>
          <w:p>
            <w:pPr>
              <w:pStyle w:val="TableContents"/>
              <w:bidi w:val="0"/>
              <w:spacing w:before="0" w:after="283"/>
              <w:jc w:val="left"/>
              <w:rPr/>
            </w:pPr>
            <w:r>
              <w:rPr/>
              <w:t>Item 12.</w:t>
            </w:r>
          </w:p>
        </w:tc>
        <w:tc>
          <w:tcPr>
            <w:tcW w:w="8392" w:type="dxa"/>
            <w:tcBorders/>
            <w:shd w:fill="CCEEFF" w:val="clear"/>
            <w:vAlign w:val="center"/>
          </w:tcPr>
          <w:p>
            <w:pPr>
              <w:pStyle w:val="TableContents"/>
              <w:bidi w:val="0"/>
              <w:spacing w:before="0" w:after="283"/>
              <w:jc w:val="left"/>
              <w:rPr/>
            </w:pPr>
            <w:hyperlink w:anchor="a_020">
              <w:r>
                <w:rPr>
                  <w:rStyle w:val="InternetLink"/>
                </w:rPr>
                <w:t>Security Ownership of Certain Beneficial Owners and Management and Related Stockholder Matters</w:t>
              </w:r>
            </w:hyperlink>
          </w:p>
        </w:tc>
        <w:tc>
          <w:tcPr>
            <w:tcW w:w="1011" w:type="dxa"/>
            <w:tcBorders/>
            <w:shd w:fill="CCEEFF" w:val="clear"/>
            <w:vAlign w:val="center"/>
          </w:tcPr>
          <w:p>
            <w:pPr>
              <w:pStyle w:val="TableContents"/>
              <w:bidi w:val="0"/>
              <w:spacing w:before="0" w:after="283"/>
              <w:jc w:val="center"/>
              <w:rPr/>
            </w:pPr>
            <w:r>
              <w:rPr/>
              <w:t>43</w:t>
            </w:r>
          </w:p>
        </w:tc>
      </w:tr>
      <w:tr>
        <w:trPr/>
        <w:tc>
          <w:tcPr>
            <w:tcW w:w="802" w:type="dxa"/>
            <w:tcBorders/>
            <w:vAlign w:val="center"/>
          </w:tcPr>
          <w:p>
            <w:pPr>
              <w:pStyle w:val="TableContents"/>
              <w:bidi w:val="0"/>
              <w:spacing w:before="0" w:after="283"/>
              <w:jc w:val="left"/>
              <w:rPr/>
            </w:pPr>
            <w:r>
              <w:rPr/>
              <w:t>Item 13.</w:t>
            </w:r>
          </w:p>
        </w:tc>
        <w:tc>
          <w:tcPr>
            <w:tcW w:w="8392" w:type="dxa"/>
            <w:tcBorders/>
            <w:vAlign w:val="center"/>
          </w:tcPr>
          <w:p>
            <w:pPr>
              <w:pStyle w:val="TableContents"/>
              <w:bidi w:val="0"/>
              <w:spacing w:before="0" w:after="283"/>
              <w:jc w:val="left"/>
              <w:rPr/>
            </w:pPr>
            <w:hyperlink w:anchor="a_021">
              <w:r>
                <w:rPr>
                  <w:rStyle w:val="InternetLink"/>
                </w:rPr>
                <w:t>Certain Relationships and Related Transactions and Director Independence</w:t>
              </w:r>
            </w:hyperlink>
          </w:p>
        </w:tc>
        <w:tc>
          <w:tcPr>
            <w:tcW w:w="1011" w:type="dxa"/>
            <w:tcBorders/>
            <w:vAlign w:val="center"/>
          </w:tcPr>
          <w:p>
            <w:pPr>
              <w:pStyle w:val="TableContents"/>
              <w:bidi w:val="0"/>
              <w:spacing w:before="0" w:after="283"/>
              <w:jc w:val="center"/>
              <w:rPr/>
            </w:pPr>
            <w:r>
              <w:rPr/>
              <w:t>44</w:t>
            </w:r>
          </w:p>
        </w:tc>
      </w:tr>
      <w:tr>
        <w:trPr/>
        <w:tc>
          <w:tcPr>
            <w:tcW w:w="802" w:type="dxa"/>
            <w:tcBorders/>
            <w:shd w:fill="CCEEFF" w:val="clear"/>
            <w:vAlign w:val="center"/>
          </w:tcPr>
          <w:p>
            <w:pPr>
              <w:pStyle w:val="TableContents"/>
              <w:bidi w:val="0"/>
              <w:spacing w:before="0" w:after="283"/>
              <w:jc w:val="left"/>
              <w:rPr/>
            </w:pPr>
            <w:r>
              <w:rPr/>
              <w:t>Item 14.</w:t>
            </w:r>
          </w:p>
        </w:tc>
        <w:tc>
          <w:tcPr>
            <w:tcW w:w="8392" w:type="dxa"/>
            <w:tcBorders/>
            <w:shd w:fill="CCEEFF" w:val="clear"/>
            <w:vAlign w:val="center"/>
          </w:tcPr>
          <w:p>
            <w:pPr>
              <w:pStyle w:val="TableContents"/>
              <w:bidi w:val="0"/>
              <w:spacing w:before="0" w:after="283"/>
              <w:jc w:val="left"/>
              <w:rPr/>
            </w:pPr>
            <w:hyperlink w:anchor="a_022">
              <w:r>
                <w:rPr>
                  <w:rStyle w:val="InternetLink"/>
                </w:rPr>
                <w:t>Principal Accountant Fees and Services</w:t>
              </w:r>
            </w:hyperlink>
          </w:p>
        </w:tc>
        <w:tc>
          <w:tcPr>
            <w:tcW w:w="1011" w:type="dxa"/>
            <w:tcBorders/>
            <w:shd w:fill="CCEEFF" w:val="clear"/>
            <w:vAlign w:val="center"/>
          </w:tcPr>
          <w:p>
            <w:pPr>
              <w:pStyle w:val="TableContents"/>
              <w:bidi w:val="0"/>
              <w:spacing w:before="0" w:after="283"/>
              <w:jc w:val="center"/>
              <w:rPr/>
            </w:pPr>
            <w:r>
              <w:rPr/>
              <w:t>45</w:t>
            </w:r>
          </w:p>
        </w:tc>
      </w:tr>
      <w:tr>
        <w:trPr/>
        <w:tc>
          <w:tcPr>
            <w:tcW w:w="802" w:type="dxa"/>
            <w:tcBorders/>
            <w:vAlign w:val="center"/>
          </w:tcPr>
          <w:p>
            <w:pPr>
              <w:pStyle w:val="TableContents"/>
              <w:bidi w:val="0"/>
              <w:spacing w:before="0" w:after="283"/>
              <w:jc w:val="left"/>
              <w:rPr/>
            </w:pPr>
            <w:r>
              <w:rPr/>
              <w:t> </w:t>
            </w:r>
          </w:p>
        </w:tc>
        <w:tc>
          <w:tcPr>
            <w:tcW w:w="8392"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center"/>
              <w:rPr/>
            </w:pPr>
            <w:r>
              <w:rPr/>
              <w:t> </w:t>
            </w:r>
          </w:p>
        </w:tc>
      </w:tr>
      <w:tr>
        <w:trPr/>
        <w:tc>
          <w:tcPr>
            <w:tcW w:w="9194" w:type="dxa"/>
            <w:gridSpan w:val="2"/>
            <w:tcBorders/>
            <w:shd w:fill="CCEEFF" w:val="clear"/>
            <w:vAlign w:val="center"/>
          </w:tcPr>
          <w:p>
            <w:pPr>
              <w:pStyle w:val="TableContents"/>
              <w:bidi w:val="0"/>
              <w:spacing w:before="0" w:after="283"/>
              <w:jc w:val="left"/>
              <w:rPr/>
            </w:pPr>
            <w:hyperlink w:anchor="a_023">
              <w:r>
                <w:rPr>
                  <w:rStyle w:val="InternetLink"/>
                  <w:b/>
                </w:rPr>
                <w:t>PART IV</w:t>
              </w:r>
            </w:hyperlink>
          </w:p>
        </w:tc>
        <w:tc>
          <w:tcPr>
            <w:tcW w:w="1011" w:type="dxa"/>
            <w:tcBorders/>
            <w:shd w:fill="CCEEFF" w:val="clear"/>
            <w:vAlign w:val="center"/>
          </w:tcPr>
          <w:p>
            <w:pPr>
              <w:pStyle w:val="TableContents"/>
              <w:bidi w:val="0"/>
              <w:spacing w:before="0" w:after="283"/>
              <w:jc w:val="center"/>
              <w:rPr/>
            </w:pPr>
            <w:r>
              <w:rPr/>
              <w:t> </w:t>
            </w:r>
          </w:p>
        </w:tc>
      </w:tr>
      <w:tr>
        <w:trPr/>
        <w:tc>
          <w:tcPr>
            <w:tcW w:w="802" w:type="dxa"/>
            <w:tcBorders/>
            <w:vAlign w:val="center"/>
          </w:tcPr>
          <w:p>
            <w:pPr>
              <w:pStyle w:val="TableContents"/>
              <w:bidi w:val="0"/>
              <w:spacing w:before="0" w:after="283"/>
              <w:jc w:val="left"/>
              <w:rPr/>
            </w:pPr>
            <w:r>
              <w:rPr/>
              <w:t> </w:t>
            </w:r>
          </w:p>
        </w:tc>
        <w:tc>
          <w:tcPr>
            <w:tcW w:w="8392"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jc w:val="left"/>
              <w:rPr/>
            </w:pPr>
            <w:r>
              <w:rPr/>
              <w:t>Item 15.</w:t>
            </w:r>
          </w:p>
        </w:tc>
        <w:tc>
          <w:tcPr>
            <w:tcW w:w="8392" w:type="dxa"/>
            <w:tcBorders/>
            <w:shd w:fill="CCEEFF" w:val="clear"/>
            <w:vAlign w:val="center"/>
          </w:tcPr>
          <w:p>
            <w:pPr>
              <w:pStyle w:val="TableContents"/>
              <w:bidi w:val="0"/>
              <w:spacing w:before="0" w:after="283"/>
              <w:jc w:val="left"/>
              <w:rPr/>
            </w:pPr>
            <w:hyperlink w:anchor="a_024">
              <w:r>
                <w:rPr>
                  <w:rStyle w:val="InternetLink"/>
                </w:rPr>
                <w:t>Exhibits and Financial Statement Schedules</w:t>
              </w:r>
            </w:hyperlink>
          </w:p>
        </w:tc>
        <w:tc>
          <w:tcPr>
            <w:tcW w:w="1011" w:type="dxa"/>
            <w:tcBorders/>
            <w:shd w:fill="CCEEFF" w:val="clear"/>
            <w:vAlign w:val="center"/>
          </w:tcPr>
          <w:p>
            <w:pPr>
              <w:pStyle w:val="TableContents"/>
              <w:bidi w:val="0"/>
              <w:spacing w:before="0" w:after="283"/>
              <w:jc w:val="center"/>
              <w:rPr/>
            </w:pPr>
            <w:r>
              <w:rPr/>
              <w:t>46</w:t>
            </w:r>
          </w:p>
        </w:tc>
      </w:tr>
      <w:tr>
        <w:trPr/>
        <w:tc>
          <w:tcPr>
            <w:tcW w:w="802" w:type="dxa"/>
            <w:tcBorders/>
            <w:vAlign w:val="center"/>
          </w:tcPr>
          <w:p>
            <w:pPr>
              <w:pStyle w:val="TableContents"/>
              <w:bidi w:val="0"/>
              <w:spacing w:before="0" w:after="283"/>
              <w:jc w:val="left"/>
              <w:rPr/>
            </w:pPr>
            <w:r>
              <w:rPr/>
              <w:t> </w:t>
            </w:r>
          </w:p>
        </w:tc>
        <w:tc>
          <w:tcPr>
            <w:tcW w:w="8392" w:type="dxa"/>
            <w:tcBorders/>
            <w:vAlign w:val="center"/>
          </w:tcPr>
          <w:p>
            <w:pPr>
              <w:pStyle w:val="TableContents"/>
              <w:bidi w:val="0"/>
              <w:spacing w:before="0" w:after="283"/>
              <w:jc w:val="left"/>
              <w:rPr/>
            </w:pPr>
            <w:hyperlink w:anchor="a_025">
              <w:r>
                <w:rPr>
                  <w:rStyle w:val="InternetLink"/>
                </w:rPr>
                <w:t>Consolidated Financial Statements</w:t>
              </w:r>
            </w:hyperlink>
          </w:p>
        </w:tc>
        <w:tc>
          <w:tcPr>
            <w:tcW w:w="1011"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filed by Air Industries Group (herein referred to as “Air Industries”, the “company”. “we”, “us”, or “our”) contains forward-looking statements. Certain of the matters discussed herein concerning, among other items, our operations, cash flows, financial position and economic performance including, in particular, future sales, product demand, competition and the effect of economic conditions, include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predictive in nature and can be identified by the fact that they do not relate strictly to historical or current facts and generally include words such as “expects,” “anticipates,” “intends,” “plans,” “believes,” “estimates” and similar expressions. Although we believe that these statements are based upon reasonable assumptions, including projections of orders, sales, operating margins, earnings, cash flow, research and development costs, working capital, capital expenditures, distribution channels, profitability, new products, adequacy of funds from operations, and general economic conditions, these statements and other projections contained herein expressing opinions about future outcomes and non-historical information, are subject to uncertainties and, therefore, there is no assurance that the outcomes expressed in these statements will be achieved.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cautioned that forward-looking statements are not guarantees of future performance and actual results or developments may differ materially from the expectations expressed in forward-looking statements contained herein. Given these uncertainties, you should not place any reliance on these forward-looking statements which speak only as of the date hereof. See “Risk factors” for a discussion of factors that could cause our actual results to differ from those expressed or implied by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update, or revise publicly and undertake no obligation to publicly update any forward-looking statement, whether as a result of new information, future events or otherwise, except as may be required under applicable securities laws. You are advised, however, to consult any additional disclosures we make in our reports filed with the Securities and Exchange Commission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26"/>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are one of the leading manufacturers of precision components and assemblies for large aerospace and defense prime contractors. Our products include landing gears, flight controls, engine mounts and components for aircraft jet engines, ground turbines and other complex machines. The ultimate end-user for most of our products is the U.S. Government, international governments, and commercial global airlines. Whether it is a small individual component for assembly by others or complete assemblies we manufacture ourselves, our high quality and extremely reliable products are used in mission critical operations that are essential for safety of military personnel and civilians.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specialize in the aerospace and defense markets, operating within a hierarchical network of suppliers. At the top of the supply chain pyramid is the prime contractor, also known as an Original Equipment Manufacturer (“OEM”). A prime contractor designs, develops and produces the final product for the end-user. We play a critical role in this ecosystem, operating as a “Tier One” supplier, delivering our products directly to prime contractors, or as a “Tier Two” supplier, providing larger complex components to others. In some cases, we ship products directly to the U.S. Government. Our strategic position has made us a key partner for many prominent defense prime contractors and global commercial aviation manufacturers, often leading us to become the exclusive or primary supplier for certain high precision parts and assemblies. We often receive Long-Term Agreements (“LTAs”) from our customers, demonstrating their commitment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renowned for our unwavering commitment to genuine quality and exceptional reliability. Our rich history dates to 1941, producing parts for World War II fighter aircraft. Since then, we have maintained an impeccable record with no known incidents of part failure leading to a mission failure resulting in a fatality. In an era plagued by foreign counterfeit parts, we strategically operate all our facilities within the United States. Our two state-of-the-art manufacturing centers located in Long Island, New York, and Barkhamsted, Connecticut, allow for rigorous oversight of production and adherence to stringent quality standards. Spanning over 150,000 square feet, our manufacturing centers serve as the operational hubs for our three legal subsidiaries, Air Industries Machining, (“AIM”) Nassau Tool Works (“NTW”) and Sterling Engineering Company (“STE”).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past several years we have strategically invested substantial amounts in new capital equipment, tooling, and processes to bolster our competitive position. Additionally, we expanded our sales and marketing efforts, with a sharp focus on expanding relationships with customers and cultivating new 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finished 2025 with $47.9 million of net sales. Our backlog, which represents the value of all funded orders received, stood at $136.8 million an increase of 16.0% as compared to our backlog on December 31, 2024. On the bottom-line, we reported a net loss of $1.3 million. As we enter fiscal 2026, we believe our future is looking brighter.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strategy is geared towards competing and winning contracts that enable us to achieve sustainable and profitable business growth and delivering high quality reliable products to our customers. At its core, lies a highly trained and close-knit team of 160 individuals committed to driving excellence and precision in every aspect of our operations. We are firmly focused on securing new contract awards, improving operations and successful execution. As of December 31, 2025, we have total unfilled contract values amounting to $270.1 million (including our $136.8 million in funded backlog and all potential orders against LTA agreements previously awarded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below under “Recent Developments” our go-forward business may materially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2026, we filed a Current Report on Form 8-K (the “Merger 8-K”) with respect to the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we and Transitory Air Sub LLC</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our wholly owned subsidiary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entered into on February 16, 2026, with Tenax Aerospace Acquisition, LLC, a Delaware limited liability company (“</w:t>
      </w:r>
      <w:r>
        <w:rPr>
          <w:rFonts w:ascii="Times New Roman;Times;Serif" w:hAnsi="Times New Roman;Times;Serif"/>
          <w:b w:val="false"/>
          <w:i w:val="false"/>
          <w:caps w:val="false"/>
          <w:smallCaps w:val="false"/>
          <w:sz w:val="20"/>
          <w:u w:val="single"/>
        </w:rPr>
        <w:t>Tenax</w:t>
      </w:r>
      <w:r>
        <w:rPr>
          <w:rFonts w:ascii="Times New Roman;Times;Serif" w:hAnsi="Times New Roman;Times;Serif"/>
          <w:b w:val="false"/>
          <w:i w:val="false"/>
          <w:caps w:val="false"/>
          <w:smallCaps w:val="false"/>
          <w:sz w:val="20"/>
        </w:rPr>
        <w:t>”). Upon consummation of the Merger Agreement, Tenax will become a wholly owned Subsidiary of AIR. Tenax is a leading provider of special mission aviation solutions that combine aircraft sourcing, financing and modification with aviation services including pilots, maintenance and other types of program support. Additionally, they have long standing relationships with key government customers.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we will issue shares of our common stock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to the holders of the membership interests of Tenax at the Closing (the “</w:t>
      </w:r>
      <w:r>
        <w:rPr>
          <w:rFonts w:ascii="Times New Roman;Times;Serif" w:hAnsi="Times New Roman;Times;Serif"/>
          <w:b w:val="false"/>
          <w:i w:val="false"/>
          <w:caps w:val="false"/>
          <w:smallCaps w:val="false"/>
          <w:sz w:val="20"/>
          <w:u w:val="single"/>
        </w:rPr>
        <w:t>Tenax Members</w:t>
      </w:r>
      <w:r>
        <w:rPr>
          <w:rFonts w:ascii="Times New Roman;Times;Serif" w:hAnsi="Times New Roman;Times;Serif"/>
          <w:b w:val="false"/>
          <w:i w:val="false"/>
          <w:caps w:val="false"/>
          <w:smallCaps w:val="false"/>
          <w:sz w:val="20"/>
        </w:rPr>
        <w:t>”). A portion of the Merger Consideration allocated in respect of membership interests of Tenax underlying certain Tenax warrants that remain unexercised as of the Closing, if any, will be reserved by us for future issuance upon the exercise of such warrants. The number of shares of our common stock to be issued to the Tenax Members will be adjusted based on a calculation of AIR Net Indebtedness (as defined in the Merger Agreement). Based on the amount of Air Net Indebtedness as of December 31, 2025, the calculation would result in the issuance of approximately 112.5 million shares of AIR Common Stock. Consequently, based upon the calculation of the Merger Consideration as of December 31, 2025, following the closing of the Merger, the Tenax Members will collectively own approximately 95% of the outstanding shares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complete description of the Merger Agreement, transactions to be consummated, actions to be taken and agreements entered into or to be entered in connection therewith, reference is made to the Merger 8-K and the full text of the Merger Agreement and the documents that are exhibits thereto which are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contemplated by the Merger Agreement (the “Merger”) is subject to risks and uncertainties and certain specified conditions, including, among other things: (a) the expiration or termination of the applicable waiting period under the Hart-Scott-Rodino Act, (b) the listing of the Merger Consideration on the NYSE American, and (c) other customary conditions for a transaction such as the Merger, such as the absence of any legal restraint prohibiting the consummation of the Merger and there not having occurred with respect to AIR or Tenax’s business a material adverse event, subject to certain customary exceptions.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specifically noted, the discussion of our business, operations, management team and financial results contained herein, gives no effect to changes that would occur as a result of or subsequent to the consummation of the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Customer Profiles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and 2024, approximately 58.3% and 69.9% of our net sales were attributed to customers who use our products for end-use on military aircraft. The rest of our net sales are attributable to commercial aviation uses and, to a much lesser extent, ground power electricity generation and other 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cultivated long-standing relationships with many large and well-known customers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RTX Corporation (“RTX”</w:t>
            </w:r>
            <w:r>
              <w:rPr>
                <w:rFonts w:ascii="Times New Roman;Times;Serif" w:hAnsi="Times New Roman;Times;Serif"/>
                <w:i/>
                <w:sz w:val="20"/>
              </w:rPr>
              <w:t xml:space="preserve">) – </w:t>
            </w:r>
            <w:r>
              <w:rPr>
                <w:rFonts w:ascii="Times New Roman;Times;Serif" w:hAnsi="Times New Roman;Times;Serif"/>
                <w:sz w:val="20"/>
              </w:rPr>
              <w:t>a multinational aerospace and defense conglomerate and a major player in the aerospace and defense industry. We sell to several business units and/or subsidiaries of RTX, including Collins Aerospace (which includes Collins Landing Systems and Collins Aerostructures) and Pratt Whitney. RTX was formerly known as Raytheon Technologies Corporation and prior to that United Technologies Corporation.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Lockheed Martin Corporation (“Lockheed Martin”)</w:t>
            </w:r>
            <w:r>
              <w:rPr>
                <w:rFonts w:ascii="Times New Roman;Times;Serif" w:hAnsi="Times New Roman;Times;Serif"/>
                <w:i/>
                <w:sz w:val="20"/>
              </w:rPr>
              <w:t xml:space="preserve"> – </w:t>
            </w:r>
            <w:r>
              <w:rPr>
                <w:rFonts w:ascii="Times New Roman;Times;Serif" w:hAnsi="Times New Roman;Times;Serif"/>
                <w:sz w:val="20"/>
              </w:rPr>
              <w:t>Lockheed Martin is a leading global security and aerospace company with its principal customers being agencies of the U.S. Government. We sell directly to one of its subsidiaries, Sikorsky Aircraft Corporation (“Sikorsky”).</w:t>
            </w:r>
          </w:p>
        </w:tc>
      </w:tr>
    </w:tbl>
    <w:p>
      <w:pPr>
        <w:pStyle w:val="TextBody"/>
        <w:bidi w:val="0"/>
        <w:spacing w:before="0" w:after="0"/>
        <w:ind w:left="720" w:right="0" w:hanging="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105"/>
        <w:gridCol w:w="200"/>
        <w:gridCol w:w="98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Northrop Grumman</w:t>
            </w:r>
            <w:r>
              <w:rPr>
                <w:rFonts w:ascii="Times New Roman;Times;Serif" w:hAnsi="Times New Roman;Times;Serif"/>
                <w:sz w:val="20"/>
              </w:rPr>
              <w:t xml:space="preserve"> (“Northrop”) – We supply product used on the E2-D Hawkeye, airborne warning and control aircraft.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General Electric Aerospace (“GE”)</w:t>
            </w:r>
            <w:r>
              <w:rPr>
                <w:rFonts w:ascii="Times New Roman;Times;Serif" w:hAnsi="Times New Roman;Times;Serif"/>
                <w:sz w:val="20"/>
              </w:rPr>
              <w:t xml:space="preserve"> – We supply GE Aerospace with high precision components that are used in jet turbine aircraft engines that are used on several commercial aircraft platforms.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GE Verona</w:t>
            </w:r>
            <w:r>
              <w:rPr>
                <w:rFonts w:ascii="Times New Roman;Times;Serif" w:hAnsi="Times New Roman;Times;Serif"/>
                <w:sz w:val="20"/>
              </w:rPr>
              <w:t xml:space="preserve"> – We supply GE Verona with precision components that are used in ground-based turbines for electrical power generation.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The U.S. Government</w:t>
            </w:r>
            <w:r>
              <w:rPr>
                <w:rFonts w:ascii="Times New Roman;Times;Serif" w:hAnsi="Times New Roman;Times;Serif"/>
                <w:sz w:val="20"/>
              </w:rPr>
              <w:t xml:space="preserve"> – We supply certain components and assemblies directly to the Defense Logistics Agency (“DLA”), a combat support agency within the U.S. Department of Defense (“DoD”). The DLA’s mission is to manage the end-to-end global defense supply chain and deliver readiness to the warfighter. It supports all five U.S. military services, federal, state, and local agencies, as well as partner and allied nations. The DLA procures items from us and provides them, as it deems fit, to other suppliers who assemble them into finished products.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Platform and Program Profiles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machined components and assemblies are integral to high-profile platforms and named programs. Platforms generally refer to equipment that is utilized in missions or operations whereas programs are broader initiatives and can encompass the development and production of new platforms, upgrades to existing systems and other initiatives. The following platforms and programs (ranked in descending order by their 2025 net sales), accounted for 79.7% and 79.3% of our net sales in 2025 and 2024, respectfully: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Pratt &amp; Whitney Geared Turbo-Fan Engine (“GTF”):</w:t>
            </w:r>
            <w:r>
              <w:rPr>
                <w:rFonts w:ascii="Times New Roman;Times;Serif" w:hAnsi="Times New Roman;Times;Serif"/>
                <w:sz w:val="20"/>
              </w:rPr>
              <w:t xml:space="preserve"> Used in commercial aviation, the GTF represents a new generation of jet engines that offer improved fuel efficiency, reduced emissions, and lower noise levels compared to traditional turbofan engines. We manufacture Thrust Struts, a critical component that essentially absorbs and distributes the forward thrust produced by the jet engine, ensuring that the force is evenly applied across the structure of the aircraft to maintain stability and integrity during takeoff, cruising and landing. We supply our Thrust Struts to Collins Aerostructures for integration into Geared Turbofan engines, utilized by smaller airlines such as those operating the Airbus A220 and Embraer E2 aircraft. Demand for these engines increased in 2025, thus reducing the concentration in the net sales attributable to military end users. Demand for these engines is anticipated to increase over the next few years.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UH-60 Black Hawk Helicopter</w:t>
            </w:r>
            <w:r>
              <w:rPr>
                <w:rFonts w:ascii="Times New Roman;Times;Serif" w:hAnsi="Times New Roman;Times;Serif"/>
                <w:i/>
                <w:sz w:val="20"/>
              </w:rPr>
              <w:t>:</w:t>
            </w:r>
            <w:r>
              <w:rPr>
                <w:rFonts w:ascii="Times New Roman;Times;Serif" w:hAnsi="Times New Roman;Times;Serif"/>
                <w:sz w:val="20"/>
              </w:rPr>
              <w:t xml:space="preserve"> We supply flight critical components, such as the primary flight control assembly and the tail-rotor gearbox, for the UH-60 Black Hawk Helicopter. Serving as the primary helicopter for the U.S. Army, it fulfills essential roles in transport, troop movement, medical evacuation and cargo lift operations. Manufactured by Sikorsky, it includes many variants and is also utilized by other branches of the U.S military and U.S. allied countries. Since entering service in 1979, over 4,000 helicopters have been produced. Deployment of new helicopters is projected to continue through at least 2027, with ongoing sustainment activities anticipated for many years thereafter.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The CH-53 Helicopter (including the CH53K variant):</w:t>
            </w:r>
            <w:r>
              <w:rPr>
                <w:rFonts w:ascii="Times New Roman;Times;Serif" w:hAnsi="Times New Roman;Times;Serif"/>
                <w:sz w:val="20"/>
              </w:rPr>
              <w:t xml:space="preserve"> Developed in the 1960s and manufactured by Sikorsky, the CH-53 is recognized as the largest and most powerful helicopter in the U.S. military. It has evolved through several variants, with hundreds delivered and used by the U.S. Marine Corps. In 2021, we secured a LTA to supply Chaff Pods for the CH-53K, the latest iteration in the CH-53 series. These pods deploy metallized strips to generate false radar targets, safeguarding the helicopters from missile threats. The CH-53K plays a crucial role in the U.S. Marine Corps’ plans to support a wide range of current and future operations. In 2024 we received a purchase order to manufacture Swashplates and Hubs to be used on the CH-53K.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The E-2D Hawkeye:</w:t>
            </w:r>
            <w:r>
              <w:rPr>
                <w:rFonts w:ascii="Times New Roman;Times;Serif" w:hAnsi="Times New Roman;Times;Serif"/>
                <w:sz w:val="20"/>
              </w:rPr>
              <w:t xml:space="preserve"> We provide the main and nose landing gear, as well as the arresting gear for the E-2D Hawkeye, a twin-engine, tactical aircraft utilized for providing advanced airborne warning and control for carrier-based operations. Often referred to as the “digital quarterback,” it conducts battlefield management and command and control operations for aircraft carrier strike groups. While primarily used by the U.S. Navy, a small number have been sold to U.S. allies, notably Japan.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The F-35 Lightning II (also known as the Joint Strike Fighter):</w:t>
            </w:r>
            <w:r>
              <w:rPr>
                <w:rFonts w:ascii="Times New Roman;Times;Serif" w:hAnsi="Times New Roman;Times;Serif"/>
                <w:sz w:val="20"/>
              </w:rPr>
              <w:t xml:space="preserve"> Manufactured by Lockheed Martin, the Joint Strike Fighter is a stealth fighter aircraft designed to replace the U.S. Air Force F-15 and the U.S. Navy and Marine Corps F-18 fighters. It includes three variants: the conventional take-off and landing F-35A, the short take-off and vertical landing F-35B, and the carrier based variant F-35C. We have produced landing gear components for all three variants and currently manufacture landing gear components for the US Navy version. The production of this aircraft is expected to continue for many years, with the DoD aiming for an inventory objective of 2,456 aircrafts, in addition to expected demand from other countries.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F-18 Hornet:</w:t>
            </w:r>
            <w:r>
              <w:rPr>
                <w:rFonts w:ascii="Times New Roman;Times;Serif" w:hAnsi="Times New Roman;Times;Serif"/>
                <w:sz w:val="20"/>
              </w:rPr>
              <w:t xml:space="preserve"> The F-18 Hornet, the U.S. Navy’s primary fighter aircraft, principally operates from aircraft carriers and enjoys international use, notably in Finland and Australia. Originating in the late 1960s, it has seen numerous upgrades and enhancements over the years. We manufacture complete landing gear components for several variants, supplying these to the U.S. government or Tier 1 or other suppliers for spares that go on the aircraft that were originally produced by Boeing.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The F-15 Eagle Tactical Fighter:</w:t>
            </w:r>
            <w:r>
              <w:rPr>
                <w:rFonts w:ascii="Times New Roman;Times;Serif" w:hAnsi="Times New Roman;Times;Serif"/>
                <w:sz w:val="20"/>
              </w:rPr>
              <w:t xml:space="preserve"> We provide landing gear components for the F-15 Eagle Tactical Fighter. Originally designed for the U.S. Air Force, it is known as a dedicated air superiority fighter. Currently manufactured by Boeing, it was designed in the late 1960s with over 600 aircraft estimated to be in service. The F-15 has been exported to various countries including Israel, Saudi Arabia and Japan. Although it is anticipated that this plane will be ultimately replaced by the Joint Strike Fighter, we believe it will be flying for years to come. It boasts an impeccable combat record. We ship most of our components directly to the U.S. DoD.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aerospace and defense industry is dominated by a select few large prime contractors including Airbus, Boeing, General Electric, Lockheed Martin, Northrop Grumman, and RTX. These prime contractors oversee large platforms and programs for ultimate end-user, the U.S. government, foreign governments or global aviation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supplier is chosen and integrated into a platform or selected for a specific program, replacing them becomes a complex challenge. In many cases, suppliers often become the sole or single source. Being a sole source means being chosen as the exclusive supplier by the customer, whereas being a single source indicates that, despite the availability of other potential manufacturers, only one supplier is currently used. This scenario of single or sole sourcing is especially prevalent with legacy aircraft. While prime contractors generally prefer multiple sources for new aircraft production lines to mitigate single points of failure, utilizing a single vendor can lead to higher production volumes, lower average unit costs, and opportunities for quality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both defense and commercial aviation components is based on new production and subsequent maintenance, repair and overhaul (“MRO”). Flight critical components are frequently replaced on aircraft on a flight time, or flight cycle basis. The demand for MRO and after-market products can continue for many years, even decades, after the production line for new aircraft is shut 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high level, we are able to monitor the DoD budget for both new production and operations and maintenance components as well as industry reports to gauge overall industry spending. While large U.S. Government programs are managed through specific budget lines and oversight structures, most, if not all, of our machine parts and assemblies are not explicitly identified in the U.S. Government budget. Therefore, predicting period-to-period demand with precision is challenging. While we primarily rely on our customers to help us project short-term and long-term demand, the timing of receipt of contract awards and related orders is difficult to predict. Consequently, comparative period-to-period net sales for any customer or program may not be meaningful.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activities during 2025 were robust, resulting in a book-to-bill ratio of 1.36x, growth in our funded backlog to $136.8 million and total unfilled contract values amounting to $270.1 million (including our $136.8 million funded backlog and all potential orders against LTA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rely upon a small team of highly skilled sales and business development professionals with extensive industry experience with hands-on support from management. Our goal is to cultivate customer relationships akin to partnerships and the concept of customer alignment. For example, our customers heavily rely on suppliers to deliver high-quality parts that meet specifications in a timely and cost-effective manner. They regularly assess suppliers based on various quantitative criteria such as on-time delivery performance, defect rates, adherence to specifications, cost performance, lead times, order processing time, stockout rates, and similar metrics. Therefore, one of our primary objectives is to maintain high ratings and leverage these metrics in our sales and marketing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varies significantly, ranging from a few weeks to over a year, depending on the complexity of the product and manufacturing steps involved. While customers may occasionally engage in spot buys, most of our orders (also known as bookings) stem from LTAs. LTAs outline the quantity and price of products the customer may order within a specified time frame. When actual products are needed, the customer places a funded order against the LTA. The value of this funded order is included in our funded backlog until we ship it. Although cancellations of funded orders are possible, customers are usually subject to termination liability, necessitating payment to us for costs incurred up to the termination date. In certain termination cases, the customer is also required to pay us a reasonable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secure new or follow-on LTAs through competitive bidding in response to a customer’s Request for Quotation (“RFQ”). These proposals detail prices based on quantities, which may vary annually, for shipments over multiple years. The bidding process typically entails several rounds of submissions and negotiations before an award is granted. For defense products, in certain cases, LTAs may be awarded or extended without an RFQ or competitive bidding. In such cases, pricing may be determined through cost analysis or audit with ultimate approval by the customer or the U.S.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Bookings and Backlog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Bookings represent funded orders secured during a given financial period. In fiscal 2025, bookings were $65,000,000, a 8.5% decrease compared to $71,000,000 in 2024. Our “book-to-bill” ratio, which is our bookings divided by net sales, was 1.36x for 2025, an improvement over the 1.29x ratio of 2024. Although bookings are subject to wide variations in timing, resulting in period-to-period comparisons not necessarily being meaningful, we do use bookings and our book-to-bill as a gauge of future 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backlog, which can be considered our “funded backlog,” stood at $136.8 million as of December 31, 2025, marking a 16.0% increase from $117.9 million on December 31, 2024. This represents the net sales we expect to realize from funded orders received and is equivalent to our remaining performance obligations pursuant to Accounting Standards Codification (“ASC”) 606, Revenue from Contracts with Customers. These funded orders, approved by customers, come from LTAs, spot-buys, or other contracts and are for essential machined components and assemblies used in the key platforms and programs we serve. Our definition provides visibility into the value of all firm orders. The bulk of our $136.8 million backlog is expected to ship over the next 24 months. but does not include possible or probable future orders pursuant to existing LTAs or probable contract renewals that would also contribute sales during such period. The total potential net sales under contracts actually awarded to us as of December 31, 2025, was $270.1 million, including the value of our existing funded backlog of $136.8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Winning a new contract award is highly competitive. Not only must we have the capabilities to manufacture to customer design specifications, but we compete against companies that have greater financial, physical and technical resources. Our ability to win new contracts generally requires us to become a trusted partner to the customer by having the capabilities to deliver superior quality product, more quickly and with lower pricing than our competitors. Accordingly, we must continually invest in process improvements and capital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we have strategically made significant investments to enhance our competitiveness and market position. For example, in fiscal 2025 and 2024, we invested $3,322,000 and $2,301,000 in new property and equipment to support our goals. These investments have enabled us to increase production efficiency and speed, while maintaining closer tolerances, have expanded the size of products we can manufacture and have been appreciated by our customers. Any investment in 2026 will be at a much lower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include: Monitor Aerospace, a division of GKN Aerospace; Hydromil, a division of Triumph Aerospace Group; Heroux Devetek and Ellanef Manufacturing, a division of Magellan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Manufacturing, Raw Materials and Replacement Parts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production cycle spanning from ordering raw materials to delivering finished products, can vary from several weeks to over a year. Consequently, for certain products, especially those involving finished assemblies, we must procure significant amounts of raw materials and begin processing well ahead of actual ship dates. This underscores the importance of efficient subcontract management in meeting customer delivery deadlines. In some cases, customers may provide us with raw materials as they may be able to obtain better processing or delivery schedules from other suppliers and in other cases the customer chooses to rely on us to manage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and availability of many raw materials in the aerospace industry are susceptible to fluctuations in global markets and political conditions. Most raw material suppliers are hesitant to commit to long-term contracts at fixed prices, posing a substantial risk given our strategy often entails entering into LTA agreements which require us to commit to long-term price commitments. However, many of our LTAs provide pricing protection when there is a large increase in the cost of raw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7, 2026, we employed 160 people. Of these, 89 were involved in manufacturing and production activities, 20 were in quality control, 45 were in administration, and the remaining 6 were in sales and procurement. All of our employees are covered under a co-employment agreement with Insperity Services, LLC, a professional employer organization. This arrangement allows us to provide employees with comprehensive benefits at a lower cost than we could provide.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AIM subsidiary has a collective bargaining agreement with the United Service Workers, IUJAT, Local 355 (the “Union”). This agreement is effective until December 31, 2027 and covers the majority of AIM’s 125 personnel. The agreement requires us to make specified contributions to the Union’s United Welfare Fund and Unted Service Worker’s Security Fund which provide pension benefits to our employees. We are not obligated to provide any additional pension benefits to our employees. Additionally, the collective bargaining agreement contains a “no-strike” clause, and a “no-lock-out” clause. We believe we maintain good relationships with the 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in compliance with all federal, state and local laws and regulations governing our operations and have obtained all material licenses and permits required for the operation of our business.  The key regulations impacting our business are further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Environmental Regulation and Employee Safety</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We are subject to regulations administered by the United States Environmental Protection Agency, the Occupational Safety and Health Administration, various state agencies and county and local authorities acting in cooperation with federal and state authorities. Among other things, these regulatory bodies impose restrictions that require us to control air, soil and water pollution, to protect against occupational exposure to chemicals, including health and safety risks, and require notification or reporting of the storage, use and release of certain hazardous chemicals and substances. This regulatory framework imposes compliance burdens and financial and operating risks on us. Governmental authorities have the power to enforce compliance with these regulations and to obtain injunctions or impose civil and criminal fines in the case of violations.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Comprehensive Environmental Response, Compensation and Liability Act of 1980 (“CERCLA”) imposes strict, joint and several liabilities on the present and former owners and operators of facilities that release hazardous substances into the environment. The Resource Conservation and Recovery Act of 1976 (“RCRA”) regulates the generation, transportation, treatment, storage and disposal of hazardous waste. New York and Connecticut, the states where our production facilities are located, also have stringent laws and regulations governing the handling, storage and disposal of hazardous substances, counterparts of CERCLA and RCRA. In addition, the Occupational Safety and Health Act, which requires employers to provide a place of employment that is free from recognized and preventable hazards that are likely to cause serious physical harm to employees, obligates employers to provide notice to employees regarding the presence of hazardous chemicals and to train employees in the use of such substances.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Federal Aviation Administration:</w:t>
      </w:r>
      <w:r>
        <w:rPr>
          <w:rFonts w:ascii="Times New Roman;Times;Serif" w:hAnsi="Times New Roman;Times;Serif"/>
          <w:b w:val="false"/>
          <w:i w:val="false"/>
          <w:caps w:val="false"/>
          <w:smallCaps w:val="false"/>
          <w:sz w:val="20"/>
        </w:rPr>
        <w:t xml:space="preserve"> We are subject to regulation by the Federal Aviation Administration (“FAA”) under the provisions of the Federal Aviation Act of 1958, as amended. The FAA prescribes standards and licensing requirements for aircraft and aircraft components. We are subject to inspections by the FAA and may be subjected to fines and other penalties (including orders to cease production) for noncompliance with FAA regulations. Our failure to comply with applicable regulations could result in the termination of or our disqualification from some of our contracts, which could have a material adverse effect on our operations. We have never been subject to such fines or disqualifications.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Federal Acquisition Regulations:</w:t>
      </w:r>
      <w:r>
        <w:rPr>
          <w:rFonts w:ascii="Times New Roman;Times;Serif" w:hAnsi="Times New Roman;Times;Serif"/>
          <w:b w:val="false"/>
          <w:i w:val="false"/>
          <w:caps w:val="false"/>
          <w:smallCaps w:val="false"/>
          <w:sz w:val="20"/>
        </w:rPr>
        <w:t xml:space="preserve"> All our U.S government contracts and those of many of our customers are subject to the procurement rules and regulations of the Federal Acquisition Regulations. As such, many of our LTA agreements require us to adhere to these rules and regulations. During and after the fulfillment of a government contract, we may be audited in respect of the direct and allocated indirect costs attributed to the project. These audits may result in adjustments to our contract costs. Additionally, we may be subject to U.S. government inquiries and investigations because of our participation in government procurement. Any inquiry or investigation can result in fines or limitations on our ability to continue to bid for government contracts and fulfill existing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More Information About Our Business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Internet website is AirIndustriesGroup.com, at which you can find our filings with the SEC, including press releases, annual reports, quarterly reports, current reports, and any amendments to those filings. We also use our website to disseminate other material information to our investors. We also make announcements regarding company developments and financial and operating performance through social media channels such as at LinkedIn.com/company/air-industries-group to communicate with customers and the public about our Company, our products, services, and other issues. Among other things, we post on our website and social media channels information about our public conference calls (including the scheduled dates, times and the methods by which investors and others can listen to those calls), and we make available for replay webcasts of those calls and other presentations for a limited time. Information and updates about our Annual Meetings will also be posted on our website including on the “Home Page” and in the “Investor Relations” section. None of the information on our website, blog or any other website identified herein is incorporated by reference in this annual report and such information should not be considered a part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 w:name="a_002"/>
      <w:bookmarkEnd w:id="4"/>
      <w:r>
        <w:rPr>
          <w:rFonts w:ascii="Times New Roman;Times;Serif" w:hAnsi="Times New Roman;Times;Serif"/>
          <w:b/>
          <w:i w:val="false"/>
          <w:caps w:val="false"/>
          <w:smallCaps w:val="false"/>
          <w:sz w:val="20"/>
        </w:rPr>
        <w:t>ITEM 1A. RISK FACTORS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our common stock involves a very high degree of risk.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our common stock and our business, you should carefully consider the risks and uncertainties described below and the other information and our consolidated financial statements and related notes included herein. If any of the events described in the risks below actually occurs, our financial condition or operating results may be materially and adversely affected, the price of our common stock may decline, perhaps significantly, and you could lose all or a part of your investment.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below can be characterized into four groups: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68"/>
        <w:gridCol w:w="215"/>
        <w:gridCol w:w="7520"/>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business, including risks specific to the defense and aerospace industry;</w:t>
            </w:r>
          </w:p>
        </w:tc>
      </w:tr>
    </w:tbl>
    <w:p>
      <w:pPr>
        <w:pStyle w:val="TextBody"/>
        <w:bidi w:val="0"/>
        <w:jc w:val="left"/>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68"/>
        <w:gridCol w:w="215"/>
        <w:gridCol w:w="2840"/>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indebtedness;</w:t>
            </w:r>
          </w:p>
        </w:tc>
      </w:tr>
    </w:tbl>
    <w:p>
      <w:pPr>
        <w:pStyle w:val="TextBody"/>
        <w:bidi w:val="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68"/>
        <w:gridCol w:w="215"/>
        <w:gridCol w:w="6800"/>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the proposed Merger with Tenax Aerospace Acquisition, LLC; and</w:t>
            </w:r>
          </w:p>
        </w:tc>
      </w:tr>
    </w:tbl>
    <w:p>
      <w:pPr>
        <w:pStyle w:val="TextBody"/>
        <w:bidi w:val="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68"/>
        <w:gridCol w:w="215"/>
        <w:gridCol w:w="5825"/>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status as a public company and our common stock.</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net losses, have recently increased our debt to support ongoing business operations, need to refinance our debt and the opinion of our auditor contains an explanatory paragraph as to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net losses for the years ended December 31, 2025 and 2024 of $1,305,000 and $1,366,000, respectively. During the year ended December 31, 2025, we used $1,352,000 to support our operations and our total indebtedness grew from $20,121,000 as of December 31, 2024, to $25,233,000 as of December 31, 2025. As of December 31, 2025, we had approximately $23,473,000 of indebtedness outstanding pursuant to our Current Credit Facility that matures on September 30, 2026 with Webster Bank (“Current Credit Facility”) and approximately $4,871,000 of subordinated notes (“Related Party Notes”) that mature on October 1, 2026, which are held by two directors Michael N. Taglich and Robert F. Taglich. We must pay or refinance this indebtedness on or prior to its respective due dates. Further, Webster has indicated that it does not want to renew the Current Credit Facility. Since it is not likely that we will be able to pay this debt, we have initiated steps to satisfy portions and refinance the balance. These steps included the sale of shares of our common stock pursuant to our Registration Statement that was declared effective on December 19, 2024, and the entry into a Merger Agreement with Tenax with respect to a proposed merger that would cause Tenax to become our wholly-owned subsidiary. Our financial statements included in this Report have been prepared on the assumption that we will continue as a going concern. Because of the uncertainty regarding our ability to refinance our indebtedness our auditors have included an explanatory paragraph in their opinion as to our ability to continue as a going concern. Our financial statements included in this Report do not include any adjustments that might result if we were not to continue as a going concern.  If we were not to consummate the Merger Agreement with Tenax, refinancing our indebtedness may require us to pay higher interest rates than we currently pay, agree to more restrictive business or financial covenants or involve the issuance of debt, equity or new securities convertible into or exercisable or exchangeable for our common stock. Any failure to refinance our existing debt or obtain additional working capital when required would have a material adverse effect on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need additional financing to fund operations and to invest in new or upgraded property or equipment</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2025 we used $1,352,000 to fund ongoing business operations and used in excess of $3,000,000 to purchase new equipment to improve our operating efficiencies. As a result, the amount of our indebtedness grew from $20,121,000 as of December 31, 2024, to $25,233,000 as of December 31, 2025. We will require additional financing to fund operations and investments in new or upgraded property or equipment in order to remain competitive and will need to obtain the agreement of holders of portions of our debt to incur new debt or otherwise refinance our existing debt. In order to gain their consent, we may need to offer these holders increases in the rates of interest they receive or otherwise compensate them through payments of cash or issuances of our equity securities. Such additional financing or refinancing may involve the issuance of debt, equity or securities convertible into or exercisable or exchangeable for our equity securities and may not be available to us on reasonable terms, if at all. If we are unable to obtain additional financing or refinance our existing debt, the trading price of our common stock could be adversely affected. If we are able to obtain additional financing or refinance our existing debt, the terms of such financing may adversely affect the interests of our existing stockholders. Any failure to fund working capital when required would have a material adverse effect on our business and financial condition and may result in a decline in our stock price. Additionally, we may need to consider other types of restructuring including seeking protection under U.S. bankruptcy law. Any issuances of our common stock, preferred stock, or securities such as warrants or notes that are convertible into, exercisable or exchangeable for, our capital stock, would have a dilutive effect on the voting and economic interest of our existing stockholders.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reduction in budgeted or actual U.S. government spending for defense or changes in the mix of defense products could materially adversely impact our business strategy, revenues, operating results and financial condition.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end-user for a significant portion of our products is the U.S. Government, with significant emphasis on military aircraft. In certain instances, our products may be exported to allied foreign governments by the U.S. Government. Although we expect to generate sales from all of our key aerospace and defense platforms and programs for many years, they are subject to significant risk. Congressional appropriation and presidential approval are required for funding, leaving our platforms and programs vulnerable to potential budget reductions at any point. For instance, a decrease in U.S. government defense spending or a strategy shift to rocket and drone platforms instead of helicopters and large military aircraft platforms, could curtail demand for landing gear parts and other components we provide which would likely have a materially adverse effect on our business strategy, revenues,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historically been subject to the fluctuations in government procurement cycles and spending patterns by our customers. There can be no assurance that our financial condition and future results of operations will not be materially adversely impacted by volatility in defense spending or changes in the mix of product favored by the U.S. Government or other nations, or the perception among our customers regarding the likelihood of such shifts.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caps w:val="false"/>
          <w:smallCaps w:val="false"/>
          <w:sz w:val="20"/>
        </w:rPr>
        <w:t>Although we have cultivated long-standing relationships with many of our customers, the aerospace and defense industry is characterized by a small number of large and well-known prime customers. A majority of our revenue is derived from sales to a limited number of customers and any loss, cancellation, reduction, or interruption in these relationships could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purchased by a relatively small number of large aerospace and defense customers who incorporate them into larger products for ultimate end-use by the U.S. Government, international governments, and commercial global airlines. A majority of our revenue is derived from sales to a limited number of customers. Consequently, we have a high degree of sales concentration among specific customers making it challenging to diversify our customer base. In fiscal years 2025 and 2024, four customers, two of which were part of the same corporate group, accounted for approximately 75.2% and 73.4% of net sales,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relies heavily on nurturing, expanding and effectively managing these relationships. Nevertheless, we cannot assure retention of these customers or their continuing to purchase at previous levels. The loss of any key customer, a decline or interruption in sales to them, or our inability to establish relationships with new customers, could significantly impact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revenues from components for a few aircraft programs and platforms and the cancellation or reduction of funding of them will harm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 significant portion of our net sales from supplying components for select aircraft programs and platforms, such as the F-18 Hornet, the E-2D Hawkeye, the UH-60 Black Hawk Helicopter, Pratt &amp; Whitney Geared Turbo-Fan Engine, the CH-53 Helicopter, the F-35 Lightning II (also known as the Joint Strike Fighter) and the F-15 Eagle Tactical Fighter. A decrease in demand for our products, stemming from reduced aircraft production or diminished aircraft utilization, would adversely affect our future operating results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outsourcing strategies and intense competition in our markets may lead to a reduction in our revenues and market share.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defense and aerospace component manufacturing market is highly competitive. Competition has been increasing and is expected to intensify further. Our large aerospace and defense prime customers, Tier One suppliers and many of our competitors have significantly greater technical, manufacturing, financial and marketing resources than we do. In the future, our defense and aerospace customers could make changes in their supply chain strategies that could adversely impact us. For instance, they could decide to in-source manufacturing, stop purchasing pursuant to existing LTA agreements or seek other sources at any time. If they seek other suppliers, we may not be able to compete successfully against either current or future competitors. including commercial manufacturers that wish to diversify their revenues and expand into the defense supply chain. Increased competition could result in reduced revenue, lower margins or loss of market share, any of which could significantly harm our business, our operating results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sales if we fail to timely meet the specifications and requirements of our customers.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customers incorporate our products into larger products such as aircraft assemblies or completed aircraft. They rely upon us to deliver products pursuant to existing LTA agreements that include detailed specifications and requirements. If a customer were to conclude that it could not rely upon us for any reason, it could look to dual source a product or rely upon another party altogether. We could be informed of a change in sourcing decisions with limited notice or not at all. Any decision by a customer to rely upon an alternate supplier for some or all of its needs could significantly harm our business, our operating results and our financial condition.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sales if our suppliers fail to meet our needs or ship raw materials to us on schedule.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our products timely with high quality to ensure smooth operation of our customers’ production lines. In order to do so, we attempt to procure our raw materials, parts and components as well as subcontracted services from various sources and utilize multiple subcontractors. However, certain materials, components and services are exclusively available from a sole or limited number of suppliers and we are reliant upon them. Additionally, materials sourced from overseas are susceptible to supply chain disruptions stemming from global events and political decisions. While we believe that, in many cases, alternative supplies, components, assemblies, or subcontractors could be secured, sourcing substitutes may necessitate the development of new suppliers or require product re-engineering and qualification, potentially leading to shipment delays. Any interruptions in raw material shipments or subcontracted service performance could significantly harm our business, our operating results and our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improve our gross margin and a reduction in future sales levels could have a disproportionate effect on our gross profit as a percentage of our net sales.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state-of-the-art manufacturing facilities currently have a large percentage of fixed factory overhead relative to our overall expenses. Consequently, our gross profit as a percentage of sales is highly linked with sales volume. If we do not increase our sales volume, it will be difficult to materially improve our gross profit margin. Although we have plans to improve operating efficiencies at our current sales levels, we may not be able to do so. Further, any reduction in sales volume would likely cause us to absorb the fixed overhead costs over a smaller base of sales, causing our gross profit as a percentage of sales to decline from current levels. Any reduction in our profit margin adversely impacts our reported performance and would have a material adverse impact on results of operation and our financial position.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associated with the bidding processes in which we compete.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 many LTA and other contracts through a competitive bidding process. We must devote substantial time and resources to prepare bids and proposals which may not result in contract awards to us. Even if we win contracts, there can be no assurance that the prices that we bid will be sufficient to allow us to generate a profit from any particular contract. On occasion, we may submit a bid for an initial contract award that will generate negative or minimal gross margin in anticipation of price increases or operational efficiencies which lead to improved gross margins on subsequent orders. There are significant costs involved with producing a small number of initial units of any new product and it may not be possible to recoup such costs on later production runs.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fixed contract pricing, increasing contract costs expose us to reduced profitability and the potential loss of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estimation process requires significant judgment and expertise. Reasons for cost growth include unavailability and productivity of labor, the nature and complexity of the work to be performed, the effect of change orders, the availability of materials, the ability of subcontractors to meet their commitments, the effect of delays in performance, availability and timing of funding from the customer, natural disasters, supply chain disruptions and the inability to recover any claims for added services necessary to complete production. A significant change in costs from those on which we based our estimates on one or more programs could have a material effect on our consolidated financial position or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prices of raw materials we use are volatile.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raw materials used in our manufacturing processes are volatile. Some LTA agreements with customers allow us to increase our prices due to increases in the price of raw materials. However, these LTA agreements generally require that we first absorb all or a portion of the price increases before being able to pass on the increase to the customer. For some LTA agreements, we are at full risk for future price agreements. If the prices of raw materials rise, we may not be able to pass along all of such increases to our customers and this could have an adverse impact on our financial position and results of operations. It is possible that some of the raw materials we use might become subject to new or increased tariffs. Significant increases in the prices of raw materials could adversely impact our customers’ demand for certain products which could lead to a reduction in our revenues and have a material adverse impact on our revenues and on our financial position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the products we produce have long lead times.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products we produce require months to produce and we sometimes produce products in excess of the number ordered intending to sell the excess as spares when orders arise. As a result, our inventory turns slowly and ties up our working capital. Our inventory represented approximately 58.7% of our assets as of December 31, 2025. Any requirement to write down the value of our inventory due to obsolescence, excess and slow moving quantities or a drop in the price of materials could have a material adverse effect on our consolidated financial position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own the intellectual property rights to products we produce.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develop internal production processes, nearly all the parts and subassemblies we produce are built to customer specifications and the customer owns the intellectual property, if any, related to the product. Consequently, if a customer desires to use another manufacturer to fabricate its part or subassembly, it is free to do so, which could have a material adverse effect on our business, our operating results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associated with new programs.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programs typically carry risks associated with design changes, acquisition of new production tools, funding commitments, imprecise or changing specifications, timing delays and the accuracy of cost estimates associated with such programs. In addition, any new program may experience delays for a variety of reasons after significant expenditures are made. If we were unable to perform under new programs to the customers’ satisfaction or if a new program in which we made a significant investment was terminated or experienced weak demand, delays or other problems, then our business, financial condition and results of operations could be materially adversely affected. This could result in low margin or forward loss contracts, and the risk of having to write-off costs and estimated earnings in excess of billings on uncompleted contracts if it were deemed to be unrecoverable over the life of the program.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perform on new programs, we may be required to incur material up-front costs which may not have been separately negotiated and may not be recoverable. Such charges and the loss of up-front costs could have a material impact on our liquidity.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control our expenses places a significant strain on our management and operational resources. If we are unable to control our expenses effectively, our business, results of operations and financial condition may be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associated with offering new services to our customers.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time-to-time, to reduce our dependence on subcontractors, increase our customers’ reliance upon us or increase our gross margins we offer new services to our customers, such as painting and finishing products we manufacture. There are risks associated with offering new products and services and even if performed timely and correctly, it is likely that our margins for these new services will be relatively low, or even negative, in the initial phases when volume is low. We may not be successful in achieving positive gross margins for new services or be able to ultimately meet our customer requirements. If we are unsuccessful, it could hurt our relationship with our customers.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Attracting and retaining executive talent and other key personnel is an essential element of our future success.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to a significant extent upon our ability to attract executive talent, as well as the continued service of our existing executive officers and other key management and technical personnel. We are a relatively small company and experienced management and technical, marketing and support personnel in the defense and aerospace industries are in demand and competition for their talents is intense. Our failure to attract or retain executive, key management and technical personnel could have a material adverse effect on our business, financial condition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intense competition for the skilled machinists necessary to manufacture our products.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intense competition for the services of skilled machinists necessary to manufacture our products and those of other companies in the aerospace and defense industry. In recent years, the competition for skilled employees has intensified and we have experienced wage inflation. We have strategically located our operations in the U.S. and many companies are expanding their domestic production. As such, there is currently a shortage of skilled workers in the U.S. In order to increase production levels, we must hire new employees and machinists for our two state-of-the art manufacturing facilities and we may not be able to do so or the costs to hire and/or train them may significantly exceed our budget. If the U.S. economy continues to experience inflation, our labor costs may further increase which could have a material adverse effect on our business, financial condition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caps w:val="false"/>
          <w:smallCaps w:val="false"/>
          <w:sz w:val="20"/>
        </w:rPr>
        <w:t>We are subject to strict governmental regulations relating to the environment, which could result in fines and remediation expense in the event of non-compliance.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extensive and frequently changing environmental regulations at the federal, state and local levels. Among other things, these regulatory bodies impose restrictions to control air, soil and water pollution, to protect against occupational exposure to chemicals, including health and safety risks, and to require notification or reporting of the storage, use and release of certain hazardous substances into the environment. This extensive regulatory framework imposes significant compliance burdens and risks on us. In addition, these regulations may impose liability for the cost of removal or remediation of certain hazardous substances released on or in our facilities without regard to whether we knew of, or caused, the release of such substances.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required to provide a place of employment that is free from recognized and preventable hazards that are likely to cause serious physical harm to employees, provide notice to employees regarding the presence of hazardous chemicals and to train employees in the use of such substances. Our operations require the use of chemicals and other materials for painting and cleaning that are classified under applicable laws as hazardous chemicals and substances. If we are found to be in violation of any of these rules, regulations or permits, we may be subject to fines, remediation expenses and the obligation to change our business practice, any of which could result in substantial costs that would adversely impact our business operations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fines and disqualification for non-compliance with Federal Aviation Administration regulations.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regulation by the FAA under the provisions of the Federal Aviation Act of 1958, as amended. The FAA prescribes standards and licensing requirements for aircraft and aircraft components. We are subject to inspections by the FAA and may be subjected to fines and other penalties (including orders to cease production) for noncompliance with FAA regulations. Our failure to comply with applicable regulations could result in the termination of or our disqualification from some of our contracts, which could have a material adverse effect on our operations. We have never been subject to such fines or disqualification.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 security attacks, internal system or service failures, and any unauthorized access to our customer data will have an adverse effect on our business and reputation.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products are used by large aerospace and prime contractors who ultimately provide them to the U.S. Government, foreign governments and commercial airlines. As such, in most cases, we are required to maintain confidential and proprietary information on our information systems. Hackers, whether they be individuals, entities or hostile enemies, may attempt to penetrate our network or those of our third-party hosting and storage providers, to gain access to confidential and proprietary data. If any of this data is hacked or leaked, obtained by others or destroyed without authorization, it could harm our reputation, we could be exposed to civil and criminal liability, which will materially impact our financial results and financial condition. Any system or service disruptions caused by hackers or those caused by projects to improve our information technology capabilities, if not mitigated, could significantly disrupt our production and assembly and could have an immediate material adverse effect on our business. We could also be subject to systems failures, including network, software or hardware failures, whether caused by us or third-party service providers, computer viruses, natural disasters or power shortages.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hackers gain access to sensitive, confidential or otherwise protected information, they may attempt to force us to pay a ransom before stopping their attack. Any hacker penetration could cause loss of data and interruptions or delays in our business, cause us to incur remediation costs or subject us to claims and damage our reputation. In addition, the failure or disruption of our communications or utilities could cause us to interrupt or suspend our operations or otherwise adversely affect our business. Although we utilize various procedures and controls to monitor and mitigate the risk of these threats and have increased recent investment to improve our cyber-security posture, there can be no assurance that these procedures and controls or new investments will be sufficient. Our property and business interruption insurance may be inadequate to compensate us for all losses that may occur as a result of any system or operational failure or disruption which would adversely affect our business, results of operations and financial condition. Moreover, expenditures incurred in implementing cyber security and other procedures and controls could adversely affect our results of operations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 extensive and evolving regulatory landscape and requirements imposed by our customers to secure our communications, and any adverse changes to, or our failure to comply with, any laws and regulations or requirements of our clients could adversely affect our brand, reputation, business, operating results, and financial condition.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laws, rules and regulations directed to those who conduct business over the internet, in addition to security requirements imposed by our clients, including those governing privacy, data governance, data protection and cybersecurity. Many LTAs that we sign with our customers require us to comply with strict vendor clauses including replications of specific sections of the FAR. These legal and regulatory regimes, including the laws, rules, and regulations thereunder, may be modified, interpreted, and applied in an inconsistent manner. To the extent we have not complied with such laws, rules, and regulations, or requirements imposed by our LTAs, we could be subject to significant fines, limitations on the products and services we provide, reputational harm, and other regulatory consequences, each of which may be significant and could adversely affect our business,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 requirements imposed by the U.S. Government and our customers with respect to privacy, data governance, data protection and cybersecurity is costly and requires a significant amount of attention from management.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disruptive national or international events, such as potential future public health crises, ongoing or new conflicts, domestic or foreign terrorist activities, banking crises, the imposition of tariffs, shifts in government alliances, and responses from the U.S. Government, other nations, and the public to such occurrences, could significantly disrupt the operations of us or our suppliers and impede our ability to procure, receive, or replenish inventory (including raw materials). These disruptions may also present challenges in communication and lead to sudden and unexpected shifts in product demand by our customers. Furthermore, global financial markets could experience disruptions, affecting our business and our ability to secure future financing, including accessing debt or equity. The occurrence of any of these events could result in lost sales and otherwise adversely affect our business,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between nations (such as the ongoing Russia-Ukraine conflict or the conflict with Iran), or between nations and terrorist organizations (such as the ongoing conflict between terrorist groups and Israel), as well as terrorist attacks, natural disasters (such as hurricanes, fires, floods and earthquakes), unusually adverse weather conditions, pandemic outbreaks or a banking crisis, the imposition of tariffs, or shifts in government alliances, could adversely affect our operations and financial performance. If any of these events impact us or our suppliers, it could result in an inability on our part to manufacture products and/or result in lost sales, materially affecting our operations and financial performance.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such events could disrupt travel, making it a challenge to communicate with our customers, as evidenced during the coronavirus pandemic. Moreover, they could lead to increases in fuel or other energy prices, fuel shortages, temporary labor shortages, temporary or long-term disruptions in delivery of products from our suppliers and disruption to our information systems, any of which could have an adverse impact on our business, operating results and financial condition. Disruptive events could make it difficult for us to access debt and equity capital on attractive terms, or at all, and impact our ability to service or refinance our debt, fund business activities, and repay debt on a timely basis.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Russia’s ongoing war with Ukraine, the conflict in the Middle East (including the ongoing U.S. military operations in Iran), continued tensions between the US and the European Union with China and Russia, and tension between the US and the European Union with respect to funding Ukraine’s war effort, tariffs and other issues, may alter countries’ willingness to rely on others as the source of certain products and material.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prime contractors and the entire U.S. aerospace and defense supply chain have relied upon parts, components, and raw materials from foreign suppliers including those located in Russia and China. Conversely, many nations chose to rely upon U.S. manufacturers as their primary source for defense products, such as helicopters and fighter aircraft. Geo-political tensions have increased during the past several years and we expect them to continue. Supply chain disruptions resulting from escalating political tensions and the economic disruption resulting from retaliatory measures between countries could result in production delays and cancellations of programs.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any material changes to the current aerospace and defense supplier structure resulting from geo-political tensions or otherwise could disrupt the markets for raw materials and supplies and our ability and the ability of our suppliers to obtain raw materials, may be significantly impacted. We cannot forecast with any certainty whether such disruptions, restrictions imposed by various governments in response thereto and resulting changes in business practices, may materially impact our ability and the ability of our suppliers to obtain necessary raw material, our business and our consolidated financial position, results of operations, and cash flows.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Indebtedness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of December 31, 2025, we have total indebtedness of approximately $30.1million, large portions of which must be paid or refinanced prior to September 30, 2026. We have been advised by Webster Bank, our principal lender, that it will not renew our Current Credit Facility. Although Tenax has agreed in the Merger Agreement that it or an affiliate, will pay or cause us to pay our indebtedness, if the Merger with Tenax is not consummated, we may not be able to refinance our existing loans prior to their respective maturity dates. Failure to do so would materially impact our business and our stock price, and we could be forced to cease or suspend our operations or become insolvent.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approximately $23,473,000 of indebtedness outstanding pursuant to the Current Credit Facility with Webster Bank, as amended (“Current Credit Facility”), that matures September 30, 2026. This indebtedness is secured by a lien on substantially all our assets. Additionally, as of December 31, 2025, we had approximately $4,871,000 of Related Party Notes that mature October 1, 2026, which are held by two directors, Michael N. Taglich and Robert F. Taglich. In addition to approximately $784,000 of finance lease obligations, at December 31, 2025, we also had $971,000 of borrowings for the solar energy systems installed at our Barkhamsted facility pursuant to a 20-year level payment term loan with CT Green Bank (“Solar Facility”).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pay or refinance our indebtedness when due, our operations may be materially and adversely affected. We must pay or refinance large portions of our indebtedness prior to September 30, 2026. Since it is unlikely that we will be able to pay this debt, we have initiated steps to satisfy portions and refinance the balance, including entering into a Merger Agreement with Tenax. If we were not to consummate the Merger Agreement, refinancing our indebtedness may require us to pay higher interest rates than we currently pay, agree to more restrictive business or financial covenants or involve the issuance of debt, equity or new securities convertible into or exercisable or exchangeable for our common stock which may adversely affect the trading price of our common stock and the interests of our existing stockholders. Any failure to refinance our existing debt or obtain additional working capital when required would have a material adverse effect on our business and financial condition and may result in a decline in our stock price. Any issuances of our common stock, preferred stock, or securities such as warrants or notes that are convertible into, exercisable or exchangeable for, our capital stock, would have a dilutive effect on the voting and economic interest of our existing stockholders.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or future leverage may adversely affect our ability to finance future operations and capital needs, may limit our ability to pursue business opportunities and may make our results of operations more susceptible to adverse economic conditions. Ultimately, we may not be able to successfully refinance our indebtedness and if we cannot, we would become insolvent.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weighted average interest rate we paid in 2025 on borrowings outstanding on the Current Credit Facility was 6.72% and this interest rate may increase in the future. Further, we agreed to pay Webster $40,000 as a condition to its agreement to extend the due date of the Current Credit Facility from December 31, 2025, to March 31, 2026, and an additional $175,000 for its agreement to extend the due date to September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interest rate paid during the year-ended December 31, 2025 and 2024, on borrowings outstanding on the Current Credit Facility was 6.72% and 7.66%, respectively. Under the terms of our Current Credit Facility, amounts due bear interest at a per annum rate equal to the greater of (i) 3.50% and (ii) a rate per annum equal to the rate per annum published from time to time in the “Money Rates” table of the Wall Street Journal (or such other presentation within The Wall Street Journal as may be adopted hereafter for such information) as the base or prime rate for corporate loans at the nation’s largest commercial bank, less sixty-five hundredths (-0.65%) of one percent per annum. Consequently, we may be susceptible to future rate increases if the Federal Reserve chooses to increase its target rate of interest. Further, Webster Bank has indicated that it will not refinance the Current Credit Facility and advised us to seek a new lender. If we were not to consummate the Merger Agreement with Tenax and seek to refinance our debt, it is likely that the interest rate and other consideration we would have to pay would exceed the rates and amounts payable pursuant to the Current Credit Agreement. In addition, in consideration for its agreement to extend the due date of the Current Credit Facility first from December 31, 2025, to March 31, 2026, and subsequently, to September 30, 2026, we agreed to pay Webster Bank fees of $40,000 and $175,000 respectively. If we are unable to refinance the Current Credit Facility and Webster Bank was to continue to fund us pursuant to the Current Credit Facility, it is likely that the rate of interest and other consideration we pay to Webster Bank would increase.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comply with the covenants of the Current Credit Facility and our debt could be called.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Merger Agreement (see additional risks below), the Current Credit Facility has been amended to extend the Maturity Date of the loans to September 30, 2026. Under the terms of the Current Credit Facility, we are required to maintain certain business and financial covenants. If we fail to maintain compliance with the covenants of the Current Credit Facility, we would have to seek a waiver from our lender, which may not be given. If we fail to maintain compliance with the covenants of the Current Credit Facility and are unable to obtain a waiver, we may have to pay increased interest rates or other compensation to Webster, may be required to immediately pay any outstanding debt or Webster could retain amounts deposited in the Collection Account and refuse to make advances under the revolving portion of the credit facility. An increase in the interest rate would likely have a material adverse impact on our consolidated financial position and results of operations. If we were required to make immediate repayment or Webster were to refuse to make advances under the revolving portion of the credit facility, we may not be able to obtain financing to repay the amounts due or maintain our operations and would become insolvent.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w:t>
      </w:r>
      <w:r>
        <w:rPr>
          <w:rFonts w:ascii="Times New Roman;Times;Serif" w:hAnsi="Times New Roman;Times;Serif"/>
          <w:b/>
          <w:i/>
          <w:caps w:val="false"/>
          <w:smallCaps w:val="false"/>
          <w:sz w:val="20"/>
        </w:rPr>
        <w:t>he terms of our Current Credit Facility limit our ability to pay dividends.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covenants of our Current Credit Facility do not allow us to pay dividends. In the future, should we decide to pay dividends, we would need covenant changes or a waiver under our Current Credit Facility. There can be no assurance our lender would agree to covenant changes or grant a waiver. In addition, we may in the future incur additional indebtedness or otherwise become subject to agreements whose terms restrict our ability to pay dividends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Consummation of the Merger Agreement with Tenax is subject to conditions, including certain conditions that may not be satisfied on a timely basis, if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waived by the parties to the Merger Agreement, and subject to applicable law, the consummation of the Merger Agreement is subject to a number of conditions set forth in the Merger Agreement.  </w:t>
      </w:r>
    </w:p>
    <w:p>
      <w:pPr>
        <w:pStyle w:val="TextBody"/>
        <w:shd w:fill="FFFFFF" w:val="clear"/>
        <w:bidi w:val="0"/>
        <w:spacing w:before="0" w:after="0"/>
        <w:ind w:left="2160" w:right="0" w:hanging="360"/>
        <w:jc w:val="both"/>
        <w:rPr>
          <w:caps w:val="false"/>
          <w:smallCaps w:val="false"/>
        </w:rPr>
      </w:pPr>
      <w:r>
        <w:rPr>
          <w:caps w:val="false"/>
          <w:smallCaps w:val="false"/>
        </w:rPr>
        <w:t> </w:t>
      </w:r>
    </w:p>
    <w:tbl>
      <w:tblPr>
        <w:tblW w:w="7818" w:type="dxa"/>
        <w:jc w:val="left"/>
        <w:tblInd w:w="0" w:type="dxa"/>
        <w:shd w:fill="FFFFFF" w:val="clear"/>
        <w:tblLayout w:type="fixed"/>
        <w:tblCellMar>
          <w:top w:w="0" w:type="dxa"/>
          <w:left w:w="0" w:type="dxa"/>
          <w:bottom w:w="0" w:type="dxa"/>
          <w:right w:w="0" w:type="dxa"/>
        </w:tblCellMar>
      </w:tblPr>
      <w:tblGrid>
        <w:gridCol w:w="68"/>
        <w:gridCol w:w="170"/>
        <w:gridCol w:w="7580"/>
      </w:tblGrid>
      <w:tr>
        <w:trPr/>
        <w:tc>
          <w:tcPr>
            <w:tcW w:w="6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o</w:t>
            </w:r>
          </w:p>
        </w:tc>
        <w:tc>
          <w:tcPr>
            <w:tcW w:w="7580" w:type="dxa"/>
            <w:tcBorders/>
            <w:shd w:fill="FFFFFF" w:val="clear"/>
            <w:vAlign w:val="center"/>
          </w:tcPr>
          <w:p>
            <w:pPr>
              <w:pStyle w:val="TableContents"/>
              <w:bidi w:val="0"/>
              <w:spacing w:before="0" w:after="283"/>
              <w:jc w:val="both"/>
              <w:rPr/>
            </w:pPr>
            <w:r>
              <w:rPr/>
              <w:t>Stockholder approval of the proposal to increase our authorized common stock;</w:t>
            </w:r>
          </w:p>
        </w:tc>
      </w:tr>
    </w:tbl>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68"/>
        <w:gridCol w:w="170"/>
        <w:gridCol w:w="9967"/>
      </w:tblGrid>
      <w:tr>
        <w:trPr/>
        <w:tc>
          <w:tcPr>
            <w:tcW w:w="6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o</w:t>
            </w:r>
          </w:p>
        </w:tc>
        <w:tc>
          <w:tcPr>
            <w:tcW w:w="9967" w:type="dxa"/>
            <w:tcBorders/>
            <w:shd w:fill="FFFFFF" w:val="clear"/>
            <w:vAlign w:val="center"/>
          </w:tcPr>
          <w:p>
            <w:pPr>
              <w:pStyle w:val="TableContents"/>
              <w:bidi w:val="0"/>
              <w:spacing w:before="0" w:after="283"/>
              <w:jc w:val="both"/>
              <w:rPr/>
            </w:pPr>
            <w:r>
              <w:rPr/>
              <w:t>Stockholder approval of the proposal to permit action in lieu of a stockholders meeting by consent only if Majority Ownership (as defined in the Merger Agreement) exists;</w:t>
            </w:r>
          </w:p>
        </w:tc>
      </w:tr>
    </w:tbl>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68"/>
        <w:gridCol w:w="170"/>
        <w:gridCol w:w="9967"/>
      </w:tblGrid>
      <w:tr>
        <w:trPr/>
        <w:tc>
          <w:tcPr>
            <w:tcW w:w="6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o</w:t>
            </w:r>
          </w:p>
        </w:tc>
        <w:tc>
          <w:tcPr>
            <w:tcW w:w="9967" w:type="dxa"/>
            <w:tcBorders/>
            <w:shd w:fill="FFFFFF" w:val="clear"/>
            <w:vAlign w:val="center"/>
          </w:tcPr>
          <w:p>
            <w:pPr>
              <w:pStyle w:val="TableContents"/>
              <w:bidi w:val="0"/>
              <w:spacing w:before="0" w:after="283"/>
              <w:jc w:val="both"/>
              <w:rPr/>
            </w:pPr>
            <w:r>
              <w:rPr/>
              <w:t>Stockholder approval of the proposal, in compliance with Section 713(b) of the NYSE American Guide, authorizing the issuance of the Merger Consideration to the Tenax members resulting in a “change in control;”</w:t>
            </w:r>
          </w:p>
        </w:tc>
      </w:tr>
    </w:tbl>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68"/>
        <w:gridCol w:w="170"/>
        <w:gridCol w:w="9967"/>
      </w:tblGrid>
      <w:tr>
        <w:trPr/>
        <w:tc>
          <w:tcPr>
            <w:tcW w:w="6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o</w:t>
            </w:r>
          </w:p>
        </w:tc>
        <w:tc>
          <w:tcPr>
            <w:tcW w:w="9967"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any AIR Material Adverse Effect or Tenax Material Adverse Effect (each as defined in the Merger Agreement);</w:t>
            </w:r>
          </w:p>
        </w:tc>
      </w:tr>
    </w:tbl>
    <w:p>
      <w:pPr>
        <w:pStyle w:val="TextBody"/>
        <w:bidi w:val="0"/>
        <w:jc w:val="left"/>
        <w:rPr>
          <w:caps w:val="false"/>
          <w:smallCaps w:val="false"/>
        </w:rPr>
      </w:pPr>
      <w:r>
        <w:rPr>
          <w:caps w:val="false"/>
          <w:smallCaps w:val="false"/>
        </w:rPr>
        <w:t> </w:t>
      </w:r>
    </w:p>
    <w:tbl>
      <w:tblPr>
        <w:tblW w:w="6408" w:type="dxa"/>
        <w:jc w:val="left"/>
        <w:tblInd w:w="0" w:type="dxa"/>
        <w:shd w:fill="FFFFFF" w:val="clear"/>
        <w:tblLayout w:type="fixed"/>
        <w:tblCellMar>
          <w:top w:w="0" w:type="dxa"/>
          <w:left w:w="0" w:type="dxa"/>
          <w:bottom w:w="0" w:type="dxa"/>
          <w:right w:w="0" w:type="dxa"/>
        </w:tblCellMar>
      </w:tblPr>
      <w:tblGrid>
        <w:gridCol w:w="68"/>
        <w:gridCol w:w="170"/>
        <w:gridCol w:w="6170"/>
      </w:tblGrid>
      <w:tr>
        <w:trPr/>
        <w:tc>
          <w:tcPr>
            <w:tcW w:w="6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o</w:t>
            </w:r>
          </w:p>
        </w:tc>
        <w:tc>
          <w:tcPr>
            <w:tcW w:w="6170" w:type="dxa"/>
            <w:tcBorders/>
            <w:shd w:fill="FFFFFF" w:val="clear"/>
            <w:vAlign w:val="center"/>
          </w:tcPr>
          <w:p>
            <w:pPr>
              <w:pStyle w:val="TableContents"/>
              <w:bidi w:val="0"/>
              <w:spacing w:before="0" w:after="283"/>
              <w:jc w:val="both"/>
              <w:rPr/>
            </w:pPr>
            <w:r>
              <w:rPr/>
              <w:t>No litigation or regulatory issue threatening to affect the Merger;</w:t>
            </w:r>
          </w:p>
        </w:tc>
      </w:tr>
    </w:tbl>
    <w:p>
      <w:pPr>
        <w:pStyle w:val="TextBody"/>
        <w:bidi w:val="0"/>
        <w:jc w:val="left"/>
        <w:rPr>
          <w:caps w:val="false"/>
          <w:smallCaps w:val="false"/>
        </w:rPr>
      </w:pPr>
      <w:r>
        <w:rPr>
          <w:caps w:val="false"/>
          <w:smallCaps w:val="false"/>
        </w:rPr>
        <w:t> </w:t>
      </w:r>
    </w:p>
    <w:tbl>
      <w:tblPr>
        <w:tblW w:w="9363" w:type="dxa"/>
        <w:jc w:val="left"/>
        <w:tblInd w:w="0" w:type="dxa"/>
        <w:shd w:fill="FFFFFF" w:val="clear"/>
        <w:tblLayout w:type="fixed"/>
        <w:tblCellMar>
          <w:top w:w="0" w:type="dxa"/>
          <w:left w:w="0" w:type="dxa"/>
          <w:bottom w:w="0" w:type="dxa"/>
          <w:right w:w="0" w:type="dxa"/>
        </w:tblCellMar>
      </w:tblPr>
      <w:tblGrid>
        <w:gridCol w:w="68"/>
        <w:gridCol w:w="170"/>
        <w:gridCol w:w="9125"/>
      </w:tblGrid>
      <w:tr>
        <w:trPr/>
        <w:tc>
          <w:tcPr>
            <w:tcW w:w="6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o</w:t>
            </w:r>
          </w:p>
        </w:tc>
        <w:tc>
          <w:tcPr>
            <w:tcW w:w="9125" w:type="dxa"/>
            <w:tcBorders/>
            <w:shd w:fill="FFFFFF" w:val="clear"/>
            <w:vAlign w:val="center"/>
          </w:tcPr>
          <w:p>
            <w:pPr>
              <w:pStyle w:val="TableContents"/>
              <w:bidi w:val="0"/>
              <w:spacing w:before="0" w:after="283"/>
              <w:jc w:val="both"/>
              <w:rPr/>
            </w:pPr>
            <w:r>
              <w:rPr/>
              <w:t>The expiration or termination of the applicable waiting period under the Hart-Scott-Rodino Act;</w:t>
            </w:r>
          </w:p>
        </w:tc>
      </w:tr>
    </w:tbl>
    <w:p>
      <w:pPr>
        <w:pStyle w:val="TextBody"/>
        <w:bidi w:val="0"/>
        <w:jc w:val="left"/>
        <w:rPr>
          <w:caps w:val="false"/>
          <w:smallCaps w:val="false"/>
        </w:rPr>
      </w:pPr>
      <w:r>
        <w:rPr>
          <w:caps w:val="false"/>
          <w:smallCaps w:val="false"/>
        </w:rPr>
        <w:t> </w:t>
      </w:r>
    </w:p>
    <w:tbl>
      <w:tblPr>
        <w:tblW w:w="8875" w:type="dxa"/>
        <w:jc w:val="left"/>
        <w:tblInd w:w="0" w:type="dxa"/>
        <w:shd w:fill="FFFFFF" w:val="clear"/>
        <w:tblLayout w:type="fixed"/>
        <w:tblCellMar>
          <w:top w:w="0" w:type="dxa"/>
          <w:left w:w="0" w:type="dxa"/>
          <w:bottom w:w="0" w:type="dxa"/>
          <w:right w:w="0" w:type="dxa"/>
        </w:tblCellMar>
      </w:tblPr>
      <w:tblGrid>
        <w:gridCol w:w="105"/>
        <w:gridCol w:w="155"/>
        <w:gridCol w:w="8615"/>
      </w:tblGrid>
      <w:tr>
        <w:trPr/>
        <w:tc>
          <w:tcPr>
            <w:tcW w:w="10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86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listing of the shares of our common stock to be issued to the Tenax Members on the NYSE American.</w:t>
            </w:r>
          </w:p>
        </w:tc>
      </w:tr>
    </w:tbl>
    <w:p>
      <w:pPr>
        <w:pStyle w:val="TextBody"/>
        <w:bidi w:val="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to the obligation of Tenax to consummate the Merger is not satisfied, Tenax could elect to decline to consummate the Merger or seek to adjust the merger consideration to be received by the Tenax Members.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incurred and we will continue to incur significant transaction and transition costs in connection with the Merger.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and expect to incur significant, non-recurring costs in connection with our efforts to consummate the Merger. Certain transaction costs incurred in connection with the Merger Agreement will only be paid if the Merger is consummated. Nevertheless, there are significant costs, including legal, accounting, consulting, and other fees, expenses and costs, and under certain conditions, breakup fees, that will be paid by the Company even if the Merger is not consummated and which, in the aggregate, may have a material adverse impact on our business,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Management has devoted significant time and effort to the negotiation of the Merger Agreement, responding to due diligence requests and seeking to consummate the Merger and will continue to do so until the Merger is consummated or abandoned</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and other personnel have devoted a substantial amount of time and resources to negotiation and execution of the Merger Agreement and will devote significant time and efforts seeking to consummate the Merger diverting time and attention from revenue generating business activities which could have an adverse impact on our business, operating results, and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14"/>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Consummation of the Merger requires the consent of our shareholders to certain actions prior to the Merger and </w:t>
      </w:r>
      <w:r>
        <w:rPr>
          <w:rFonts w:ascii="Times New Roman;Times;Serif" w:hAnsi="Times New Roman;Times;Serif"/>
          <w:b w:val="false"/>
          <w:i/>
          <w:caps w:val="false"/>
          <w:smallCaps w:val="false"/>
          <w:sz w:val="20"/>
        </w:rPr>
        <w:t>t</w:t>
      </w:r>
      <w:r>
        <w:rPr>
          <w:rFonts w:ascii="Times New Roman;Times;Serif" w:hAnsi="Times New Roman;Times;Serif"/>
          <w:b/>
          <w:i/>
          <w:caps w:val="false"/>
          <w:smallCaps w:val="false"/>
          <w:sz w:val="20"/>
        </w:rPr>
        <w:t>he Merger Agreement may be amended without shareholder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shareholders will not be asked to approve the merger agreement, approval of our shareholders is required for certain actions which must be taken in order to consummate the Merger, including a proposal to increase our authorized stock, a proposal to permit action in lieu of a stockholders meeting by consent only if Majority Ownership (as defined in the Merger Agreement) exists and of the proposal, in compliance with Section 713(b) of the NYSE American Guide, authorizing the issuance of the Merger Consideration to the Tenax members resulting in a “change in control. ”The Merger Agreement contains provisions relating to the issuance of the Company’s shares, the payment of certain obligations of the Company, including the Related Party Notes, a tender offer for a portion of the shares of the Company currently outstanding, and the redemption on the first anniversary of the date on which the Merger is consummated (the “Closing Date”) of all of the shares of the Company outstanding prior to consummation of the Merger. The Merger Agreement may be amended by the parties thereto, without approval of the shareholders of the Company. While the Company does not expect the Company’s Board of Directors to approve any amendment to the Merger Agreement prior to the Merger, it may be possible that the Company’s Board, in exercising its business judgment and subject to its fiduciary duties and any restrictions under the Merger Agreement, chooses to approve one or more amendments to such agreement. Any such amendment may have an adverse effect on the trading price of the Company’s common stock or the prices at which the tender offer is to be conducted and to be paid upon redemption of the shares of the Company outstanding prior to consummation of the Merger or the likelihood that the Merger will be consummated.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Directors and Officers of the Company have entered into an agreement with Tenax to vote in favor of the Merger, regardless of how the Company’s other shareholders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Officers of the Company have agreed, among other things, to vote in favor of all proposals to be presented to our shareholders at the meeting which must be held to approve certain actions which must be taken to consummate the Merger (the “Shareholders Meeting”), including proposals to increase the number of shares of common stock we are authorized to issue from 20 million to 200 million, authorize stockholder action by written consent in lieu of a shareholders meeting at any time while Majority Ownership (as defined in the proposed Charter Amendment) exists and in order to comply with Section 713(b) of the NYSE American Company Guide, to approve the issuance of the shares of common stock pursuant to the Merger Agreement to the Tenax Members resulting in a change of control. Accordingly, such proposals, which are a condition to consummation of the Merger, could be approved even if the majority of the votes cast by the public shareholders are against it. Further, the directors and officers have agreed to vote against any Competing Proposal, as defined, and any other action, agreement or transaction involving the Company that is intended, or would reasonably be expected, to impede, interfere with, delay, postpone, adversely affect or prevent the consummation of the Merger.</w:t>
      </w:r>
    </w:p>
    <w:p>
      <w:pPr>
        <w:pStyle w:val="TextBody"/>
        <w:shd w:fill="FFFFFF" w:val="clear"/>
        <w:bidi w:val="0"/>
        <w:spacing w:before="0" w:after="0"/>
        <w:ind w:left="0" w:right="0" w:hanging="14"/>
        <w:jc w:val="both"/>
        <w:rPr>
          <w:caps w:val="false"/>
          <w:smallCaps w:val="false"/>
        </w:rPr>
      </w:pPr>
      <w:r>
        <w:rPr>
          <w:caps w:val="false"/>
          <w:smallCaps w:val="false"/>
        </w:rPr>
        <w:t> </w:t>
      </w:r>
    </w:p>
    <w:p>
      <w:pPr>
        <w:pStyle w:val="TextBody"/>
        <w:bidi w:val="0"/>
        <w:spacing w:before="0" w:after="0"/>
        <w:ind w:left="0" w:right="0" w:hanging="1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14"/>
        <w:jc w:val="both"/>
        <w:rPr>
          <w:caps w:val="false"/>
          <w:smallCaps w:val="false"/>
        </w:rPr>
      </w:pPr>
      <w:r>
        <w:rPr>
          <w:caps w:val="false"/>
          <w:smallCaps w:val="false"/>
        </w:rPr>
        <w:t> </w:t>
      </w:r>
    </w:p>
    <w:p>
      <w:pPr>
        <w:pStyle w:val="TextBody"/>
        <w:shd w:fill="FFFFFF" w:val="clear"/>
        <w:bidi w:val="0"/>
        <w:spacing w:before="0" w:after="0"/>
        <w:ind w:left="0" w:right="0" w:hanging="14"/>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of the Company’s directors’ and executive officers’ discretion in agreeing to the Merger Agreement or changes or waivers in the terms of the Merger Agreement may be impacted by conflicts of interest.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period leading up to the Closing of the Merger, events may occur that, pursuant to the Merger Agreement, would require the Company to agree to amend the Merger Agreement, to consent to certain actions taken by Tenax, or to waive rights to which the Company is entitled to under the Merger Agreement. Such events could arise because of changes in the Company’s business, a request by the Company to undertake actions that would otherwise be prohibited by the terms of the Merger Agreement, or the occurrence of other events that would have a material adverse effect on the Company’s business and which would entitle Tenax to terminate the Merger Agreement. In any of such circumstances, it would be at the Company’s discretion, acting through the Company’s Board, to grant its consent or waive those rights. The existence of financial and personal interests of one or more of the directors in the consummation of the Merger may result in a conflict of interest on the part of such director(s) between what he or they may believe is best for the Company and the Company’s shareholders and what he or they may believe is best for himself or themselves in determining whether or not to take the requested 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announcement of the proposed Merger could disrupt our relationships with our customers, suppliers, business partners and others, as well as our operating results and business generally.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Merger is ultimately consummated, as a result of uncertainty related to the proposed transaction, risks relating to the impact of the announcement of the Merger on our business include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employees may experience uncertainty about their future roles, which might adversely affect their performance and the Company’s ability to retain and hire key personnel and other employees; and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customers, suppliers, business partners and other parties with which we maintain business relationships may experience uncertainty about our future and seek alternative relationships with third parties, seek to alter their business relationships with us or fail to extend an existing relationship with us; and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aforementioned risks were to materialize, they could lead to significant costs or impacts on our business which may impact us and could have an adverse impact on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issuance of shares of common stock in the Merger will dilute your ownership and could adversely affect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based upon our Indebtedness as of December 31, 2025, we will issue approximately 112.5 million shares of our common stock to the Members of Tenax and entities holding warrants to acquire membership interests in Tenax. As a result, the interests of current holders of our common stock will be substantially diluted and they will own in the aggregate, less than 5% of the number of shares of common stock outstanding immediately after consummation of the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number of shares of our common stock to be issued in the Merger is subject to adjustment and likely to increase.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issued to the members of Tenax is subject to adjustment based upon our operating performance between the date hereof and the end of the month preceding the month in which the Merger is consummated. Specifically, the number of shares to be issued will increase pursuant to the formula set forth in the Merger Agreement if our indebtedness, as defined in the Merger Agreement, increases (“Indebtedness”). Our Indebtedness increased during the year ended December 31, 2025, and likely will increase during the period commencing January 1, 2026, until the Merger is consummated or abandoned.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There is currently no meaningful information regarding the business, operations and historical financial operating results of Tenax available to prospective purchasers of our common stock in the public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Tenax is a privately held company and is not obligated to and does not make information regarding its business and financial results available to the public. Although information including historical financial results of Tenax will be made available in the proxy statement (“Proxy”) to be distributed to our shareholders prior to the Shareholders Meeting, the historical financial results of Tenax do not reflect the financial condition, results of operations or cash flows it would have achieved as a public company during the periods presented or those we will achieve in the future. Our financial condition and future results of operations could be materially different from amounts reflected in the historical financial statements of Tenax included in the Proxy. Such information as is currently publicly available regarding Tenax and as may become available, will be limited and may not be sufficient for an investor to make an informed decision regarding the future prospects of our Company if the Merger is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of Being a Public Company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only a limited public market for our common stock.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common stock is listed on the NYSE American, there is only a limited number of our common shares available in the public float and the related market capitalization of our float is relatively small. Further, the proportion of our shares in the float will represent a very minor portion of our outstanding shares immediately following consummation of the Merger. The trading volume for our common stock has been limited and a more active public market for our common stock may not develop or be sustained over time. The lack of a robust market may impair a stockholder’s ability to sell shares of our common stock. In the absence of a more active trading market, any attempt to sell our shares could result in a decrease in the price of our stock. Specifically, our shareholders may not be able to resell their shares of common stock at or above the price paid for such shares or at all.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ownership of our common stock is highly concentrated amongst related parties, and their interests may conflict with the interests of other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our directors, Michael N. Taglich and Robert F. Taglich, and their affiliates own a significant portion of our outstanding shares of common stock. They also held $4,871,000 of Related Party Notes as of December 31, 2025, some of which are convertible into our common stock. Although the Related Party Notes are subordinate to our debt pursuant to the Current Credit Facility, we may require additional concessions from the holders of the Related Party Notes and Tenax if we seek to refinance the Current Credit Facility or issue new debt. These related parties have significant influence over the outcome of corporate actions, including those actions requiring stockholder approval to permit the Merger to be consummated. The interests of these related parties may be different from the interests of other stockholders on these and other matters. Additionally, this concentration of ownership could also have the effect of delaying or preventing a change in our control or otherwise discouraging a potential acquirer from attempting to obtain control of us, which in turn could reduce the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the perception of future sales, of our common stock by us or our existing stockholders in the public market could cause the market price for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substantial amounts of shares of our common stock in the public market or the perception that such sales could occur, could negatively impact the market price of shares of our common stock. These sales, or the possibility that these sales may occur, also might make it more difficult for us or our shareholders to sell equity securities in the future at a time and at a price that we or they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our directors and officers agreed that they will not, during the period beginning upon execution of the Merger Agreement and terminating on the date on which the Merger is consummated or the Merger Agreement is terminated, directly or indirectly, offer, sell, contract to sell, pledge, grant any option to purchase, make any short sale, or otherwise dispose of any shares of our common stock, or any options or warrants to purchase any shares of our common stock, or any securities convertible into, exchangeable for, or that represent the right to receive shares of our common stock, or any interest in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Merger or termination of the Merger Agreement, shares held by our directors and officers will be eligible for resale, subject to, in the case of stockholders who are our affiliates, volume, manner of sale, and other limitations under Rule 144 promulgated under the Securities Act. In addition, shares of our common stock issuable upon exercise or vesting of incentive awards under our incentive plans are, once issued, eligible for sale in the public market, subject, in some cases, limitations on volume and manner of sale applicable to affiliates under Rule 144. Furthermore, shares of our common stock reserved for future issuance under our Equity Incentive Plans may become available for sale in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could drop significantly if the holders of the shares described above sell them or are perceived by the market as intending to sell them. These factors could also make it more difficult for us to raise additional funds through future offerings of shares of our common stock or other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is highly volatile, which could result in substantial losses to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historically been volatile and is likely to continue to be volatile. The market price of our common stock could fluctuate widely due to factors relating to our operations, the terms of our Merger Agreement with Tenax, as well as those beyond our control, including public perception of the business prospects of Tenax and the likelihood of consummation of the Merger with Tenax. Because our common stock is thinly traded, the trading price may be volatile due to factors concerning our operations, such as variations in our operating results, failure to meet the covenants under the Current Credit Facility, news regarding the loss of a major customer or termination or a reduction in funding for a program we are on, the loss of management personnel, the outcome or perception of the potential outcome of any litigation, public perception of the business prospects of Tenax and the likelihood of consummation of the Merger with Tenax, general industry conditions and significant industry developments. In addition, the market price of our common stock may be affected by factors unrelated to our operations, such as general economic factors, government budgeting decisions affecting our industry and developments in the financial markets and availability of credit.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and financial condition may fluctuate on a quarterly and annual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and financial condition fluctuate from quarter-to-quarter and year-to-year and are likely to continue to vary due to a number of factors, many of which will not be within our control. Fluctuations in our operating results and financial condition may be due to a number of factors, including those set forth in these Risk Factors and in our discussion of our results of operations. Due to the risks discussed in these Risk factors and elsewhere this Report, you should not rely on quarter-over-quarter and year-over-year comparisons of our operating results as an indicator of our future performance.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Disruptive national and international events and the response of the United States, other countries and the public to such events, and the resulting macroeconomic disruption to the financial markets could lead to increased volume and price volatility for publicly traded securities which could adversely impact the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Disruptive national and international events, such as the outbreak of a public health crisis, conflicts between nations or between nations and terrorist organizations, terrorists acts, natural disasters, a banking crisis, the imposition of tariffs, shifts in international alliances, the possibility of default by the U.S. Government on its obligations due to its debt ceiling or the actuality of such an event, and the response of the U.S. Government, other countries and the public to such events, and the resulting macroeconomic disruption to the financial markets could lead to increased volume and price volatility for publicly traded securities which could adversely impact the price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“smaller reporting company” and the reduced disclosure requirements applicable to smaller reporting companies may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a smaller reporting company, we may follow reduced disclosure requirements and do not have to make all of the disclosures that are made by public companies that are not smaller reporting companies. For so long as we remain a smaller reporting company, we are permitted and intend to rely on exemptions from certain disclosure requirements that are applicable to other public companies. We cannot predict whether investors will find our common stock less attractive if we rely on these exemptions. If some investors find our common stock less attractive as a result, there may be a less active trading market for our common stock and our share price may be more volatile.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 provide no assurance that our common stock will continue to be listed on the NYSE American. If we fail to meet the continued listing standards of the NYSE American, our common stock could be delisted. The delisting of our common stock could impair your ability to purchase shares of our common stock or sell your common stock when you wish to do so which could have a negative effect on the price of our common stock.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the continued listing requirements of the NYSE American, it may take steps to delist our common stock. There are measures that can be taken to remain in compliance with certain of the listing requirements of NYSE American which often require the undertaking of a reverse stock split, selling common stock at prices below what the Board of Directors may believe is its true value or completing a merger to acquire a new business. There are other exchanges and trading platforms on which we could choose to list our common stock. Our Board periodically examines the costs and benefits of listing our common stock on the NYSE American with the costs and benefits that would result from an alternative trading platform.  If our Board were to choose to seek another platform for the trading of our common stock, this could entail suspending our obligation to file periodic reports with the SEC and using other means to make information publicly available to shareholders and potential buyers of our common stock.  There can be no assurance that any cost savings and other benefits we might achieve from trading on another platform would outweigh any negative impact to the trading market and price of our common stock that would result from delisting from the NYSE American.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NYSE delists the Company’s securities from trading on its exchange and the Company is not able to list its securities on another national securities exchange, the Company’s securities could be quoted on an over-the-counter market. If this were to occur, the Company could face significant material adverse consequences,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105"/>
        <w:gridCol w:w="200"/>
        <w:gridCol w:w="49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availability of market quotations for its securities;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05"/>
        <w:gridCol w:w="200"/>
        <w:gridCol w:w="28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liquidity for its securities;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determination that the Company’s common stock is a “penny stock” which will require brokers trading in the common stock to adhere to more stringent rules and possibly result in a reduced level of trading activity in the secondary trading market for the Company’s securities;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68"/>
        <w:gridCol w:w="200"/>
        <w:gridCol w:w="75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decreased ability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NYSE American may require us to meet the requirements for an initial listing if we consummate the Merger with Tenax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consummate the Merger with Tenax the NYSE American may require us to meet the requirements for an initial listing. The NYSE American has announced it intends to amend its initial listing rules to require, among other criteria, a per share price of at least $4.00 per share and a market capitalization of at least $15,000,000. If we are unable to satisfy such requirements, it may take steps to delist our common stock. There are measures that can be taken to comply with certain of the listing requirements of NYSE American, such as effecting a reverse stock split or selling shares of our common stock.  We cannot assure you that the Company will be able to meet those initial listing requirements after the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the expectations of securities analysts or investors, our stock price could decline significantly.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fluctuate significantly due to a variety of factors, some of which are outside our control. Accordingly, we believe period-to-period comparisons should not be relied upon as indications of future performance. Some of the factors that could cause quarterly or annual operating results to fluctuate include conditions inherent in government contracting and our business such as the timing of cost and expense recognition for contracts, the U.S. Government contracting and budget cycles, introduction of new government regulations and standards, contract closeouts, variations in manufacturing efficiencies, our ability to obtain components and subassemblies from contract manufacturers and suppliers, general economic conditions and economic conditions specific to the defense market and disruptions caused by global events. Because we base our operating expenses on anticipated revenue trends and a high percentage of our expenses are fixed in the short term, any delay in generating or recognizing forecasted revenues could significantly harm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quarterly results may cause earnings to fall below the expectations of securities analysts and investors. In this event, the trading price of our common stock could significantly decline. These fluctuations, as well as general economic and market conditions, may adversely affect the future market price of our common stock, as well as our overall operating results. Consequently, our share price may experience significant volatility and may not necessarily reflect the value of our expected performance.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publish inaccurate or unfavorable research or reports about our business,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depends, in part, on the research and reports that third-party securities analysts publish about us and the industries in which we operate. Currently, there is limited analyst coverage of our Company. We may be unable or slow to attract research coverage and if one or more analysts cease coverage of us, the price and trading volume of our securities would likely be negatively impacted. If any of the analysts that may cover us change their recommendation regarding our common stock adversely, or provide more favorable relative recommendations about our competitors, the price of our common stock would likely decline. If any analyst that may cover us ceases covering us or fails to regularly publish reports on us, we could lose visibility in the financial markets, which could cause the price or trading volume of our common stock to decline. Moreover, if one or more of the analysts who cover us downgrades our common stock, or if our reporting results do not meet their expectations, the market price of our common stock could decline.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financings or acquisitions may adversely affect the market price of our common stock.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or issuances of our common stock, including upon conversion of our outstanding convertible notes, upon exercise of our outstanding warrants and options, or as part of the Merger and other future financings or acquisitions, would be substantially dilutive to the outstanding shares of common stock. Any dilution or potential dilution may cause our stockholders to sell their shares, which would contribute to a downward movement in the price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 costs as a result of operating as a public company, and our management is required to devote substantial effort to compliance requirements, including establishing and maintaining internal controls over financial reporting, and we may be exposed to potential risks if we are unable to comply with these requirements. Costs to comply may increase in the future. The requirements of being a public company affect our ability to attract and retain qualified board members.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after completion of the Merger intend to continue to be, subject to the reporting requirements of the Exchange Act, the Sarbanes-Oxley Act and any rules promulgated thereunder, as well as the rules of NYSE American. The requirements of these rules and regulations increase our legal and financial compliance costs, make some activities more difficult, time-consuming, or costly, and increase demand on our systems and resources.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are required, and, as a result, management’s attention may be diverted from other business concerns. These rules and regulations can also make it more difficult for us to attract and retain qualified independent members of our board of directors. Additionally, these rules and regulations make it more difficult and more expensive for us to obtain director and officer liability insurance. We may be required to accept reduced coverage or incur substantially higher costs to obtain coverage. The increased costs of compliance with public company reporting requirements and our potential failure to satisfy these requirements can have a material adverse effect on our operations, business, financial condition, or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among other things, requires that we maintain effective internal controls for financial reporting and disclosure controls and procedures. In particular, we must perform system and process evaluations and testing of our internal controls over financial reporting to allow management to report on the effectiveness of our internal controls over financial reporting, as required by Section 404 of the Sarbanes-Oxley Act. Compliance with Section 404 may require that we incur substantial accounting expenses and expend significant management efforts. Our testing may reveal deficiencies in our internal controls over financial reporting that are deemed to be material weaknesses. In the event we identify significant deficiencies or material weaknesses in our internal controls that we cannot remediate in a timely manner, the market price of our stock could decline if investors and others lose confidence in the reliability of our financial statements and we could be subject to sanctions or investigations by the SEC or other applicable regulatory authorities.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effectively maintain a system of internal control over financial reporting, we may not be able to accurately or timely report our financial results and our stock price could be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determined that as of December 31, 2025, our disclosure controls and procedures and internal control over financial reporting were not effective due to a material weakness regarding appropriate segregation of duties with respect to and validation of data produced by certain modules of our financial IT systems. We first determined this weakness in fiscal 2022 and have not been able to address these weaknesses without incurring significant costs and/or process changes. Although improved controls have been implemented during fiscal 2023, 2024, and 2025, we will need to enhance and further formalize these controls during fiscal 2026. We expect to conclude our testing of effectiveness in fiscal 2026 but we may find that the remediations implemented were not effective and have to incur additional costs to adopt new controls. A significant increase in costs in 2026 or any failure to maintain our controls or operation of these controls, could harm our operations, decrease the reliability of our financial reporting, and cause us to fail to meet our financial reporting obligations, which could adversely affect our business and reduce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expect to pay any cash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review our cybersecurity defenses to assess our vulnerability to cybersecurity attacks from viruses, malware and more sophisticated and targeted cyber-related attacks such as hackers looking to demand ransomware or access our systems to obtain information and data, as well as our vulnerability to cybersecurity failures resulting from human error and technological errors.  We rely upon internal information technology (“IT”) personnel working in conjunction with specialized outside security consultants on a day-to-day basis to conduct reviews and upgrade our systems when determined to be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strategy in combatting cybersecurity risks includes a variety of measures,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use of antivirus software, virtual private networks, email security, as well as other software and system-wide measures such as multi-factor authorization to prevent and detect data intrusions;</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deployment of updates and patches as they become available from our software suppliers and consultants and maintaining the current versions of major software to reduce the exposure to vulnerabilities;</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use of third-party services to conduct mandatory online training for all employees regarding identifying and avoiding cyber-security risks;</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9490" w:type="dxa"/>
        <w:jc w:val="left"/>
        <w:tblInd w:w="0" w:type="dxa"/>
        <w:tblLayout w:type="fixed"/>
        <w:tblCellMar>
          <w:top w:w="0" w:type="dxa"/>
          <w:left w:w="0" w:type="dxa"/>
          <w:bottom w:w="0" w:type="dxa"/>
          <w:right w:w="0" w:type="dxa"/>
        </w:tblCellMar>
      </w:tblPr>
      <w:tblGrid>
        <w:gridCol w:w="105"/>
        <w:gridCol w:w="200"/>
        <w:gridCol w:w="9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review of the security procedures used by third parties that may host or otherwise have access to our systems;</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deployment of third-party cybersecurity experts to perform penetration testing on our internal and external networks and systems in an effort to identify potential vulnerabilities; and</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consideration of the cybersecurity risks posed by interacting with current and potential third-party service providers, suppliers and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vulnerability inherent in our systems or malware embedded in our systems that are likely to materially affect, or are reasonably likely to materially affect, our operations. We are in the process of implementing additional training and are in the process of engaging third parties to perform various testing as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Day-to-day management of cybersecurity threats is conducted by our IT department in conjunction with outside service providers, which is charged with identifying and reporting threats to senior management. On a quarterly basis, cybersecurity is reviewed by our Chief Executive Officer and Chief Financial Officer, who are expected to report to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of Directors, which is composed of all non-employee directors, is responsible for oversight of our efforts to eliminate cybersecurity risks. The Audit Committee meets regularly with our Chief Executive Officer and Chief Financial Officer and, in turn, reports its findings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strategically located our properties in the U.S. We lease and maintain an approximately 81,000 square foot state-of-the-art manufacturing facility located in Bay Shore, New York. We maintain our corporate headquarters at this facility whose lease expires in September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 second 74,923 square foot state-of the-art manufacturing facility located in Barkhamsted, Connecticut.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2018, Contract Pharmacal Corp. (“Contract Pharmacal”) commenced an action, relating to a Sublease entered into between the Company and Contract Pharmacal in May 2018 with respect to the property that was formerly occupied by the Company’s former subsidiary WMI, at 110 Plant Avenue, Hauppauge, New York. In the action, Contract Pharmacal sought damages for an amount in excess of $1,000,000 for the Company’s alleged violation of the terms of the subject sublease, specifically the failure to make the entire premises available by what it claims was the Sublease commencement date. The validity of the action is extremely suspect in that the subject sublease had no specific commencement date and Contract Pharmacal ultimately received all the space. Discovery was conducted and the Plaintiff moved for summary judgement and to amend its complaint to add a new cause of action all of which the company opposed. On July 8, 2021, the Court denied Contract Pharmacal’s motion for summary judgement and to add an additional cause of action. In the Order, the Court granted Contract Pharmacal’s Motions to drop its claim for specific performance and to amend its Complaint to reduce its claim for damages to $700,000 both of which benefit the Company. Following the Court’s decision, Contract Pharmacal filed a Motion to reargue its original motion which the Company opposed. The Court denied that motion on November 30, 2021 and then on March 10, 2022, Contract Pharmacal filed an appeal of the Court’s decision with the Appellate Division of the State of New York. The Company opposed that action. The Company was again successful as the Appellate Division upheld the lower court’s denial of Contract Pharmacal’s motion for summary judgement and its motion to amend its Complaint. Contract Pharmacal has now submitted a motion to the Appellate Division requesting leave to reargue the court’s denial of its original appeal. The Company will oppose that motion. The Appellate Division has yet to act in respect to Contract Pharmacal’s most recent motion to reargue the Court’s denial of the original appeal. The Company continues to dispute the validity of the claims asserted by Contract Pharmacal and intends to contest them vigorously.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engaged in various lawsuits and legal proceedings in the ordinary course of our business. We are currently not aware of any legal proceedings the ultimate outcome of which, in our judgment based on information currently available, would have a material adverse effect on our business, financial condition or operating results. There are no proceedings in which any of our directors, officers or affiliates, or any registered or beneficial stockholder of our common stock, is an adverse party or has a material interest adverse to our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“AIRI.”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there were 91 stockholders of record of our common stock. The number of record holders does not include persons who held our Common Stock in nominee or “street name” accounts through brokers.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shares of our Common Stock to be issued upon exercise of options and warrants, the weighted-average exercise price of outstanding options and warrants and options available for future issuance pursuant to our equity compensation plans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94"/>
        <w:gridCol w:w="90"/>
        <w:gridCol w:w="244"/>
        <w:gridCol w:w="2261"/>
        <w:gridCol w:w="90"/>
        <w:gridCol w:w="90"/>
        <w:gridCol w:w="604"/>
        <w:gridCol w:w="1676"/>
        <w:gridCol w:w="90"/>
        <w:gridCol w:w="90"/>
        <w:gridCol w:w="276"/>
        <w:gridCol w:w="2561"/>
        <w:gridCol w:w="139"/>
      </w:tblGrid>
      <w:tr>
        <w:trPr/>
        <w:tc>
          <w:tcPr>
            <w:tcW w:w="1994" w:type="dxa"/>
            <w:tcBorders>
              <w:bottom w:val="single" w:sz="12" w:space="0" w:color="000000"/>
            </w:tcBorders>
            <w:vAlign w:val="center"/>
          </w:tcPr>
          <w:p>
            <w:pPr>
              <w:pStyle w:val="TableContents"/>
              <w:bidi w:val="0"/>
              <w:spacing w:before="0" w:after="283"/>
              <w:jc w:val="left"/>
              <w:rPr>
                <w:b/>
              </w:rPr>
            </w:pPr>
            <w:r>
              <w:rPr>
                <w:b/>
              </w:rPr>
              <w:t>Plan Category</w:t>
            </w:r>
          </w:p>
        </w:tc>
        <w:tc>
          <w:tcPr>
            <w:tcW w:w="90" w:type="dxa"/>
            <w:tcBorders/>
            <w:tcMar>
              <w:bottom w:w="0" w:type="dxa"/>
            </w:tcMar>
            <w:vAlign w:val="center"/>
          </w:tcPr>
          <w:p>
            <w:pPr>
              <w:pStyle w:val="TableContents"/>
              <w:bidi w:val="0"/>
              <w:spacing w:before="0" w:after="283"/>
              <w:jc w:val="left"/>
              <w:rPr/>
            </w:pPr>
            <w:r>
              <w:rPr/>
              <w:t> </w:t>
            </w:r>
          </w:p>
        </w:tc>
        <w:tc>
          <w:tcPr>
            <w:tcW w:w="2505" w:type="dxa"/>
            <w:gridSpan w:val="2"/>
            <w:tcBorders>
              <w:bottom w:val="single" w:sz="12" w:space="0" w:color="000000"/>
            </w:tcBorders>
            <w:vAlign w:val="center"/>
          </w:tcPr>
          <w:p>
            <w:pPr>
              <w:pStyle w:val="TableContents"/>
              <w:bidi w:val="0"/>
              <w:spacing w:before="0" w:after="283"/>
              <w:jc w:val="center"/>
              <w:rPr>
                <w:b/>
              </w:rPr>
            </w:pPr>
            <w:r>
              <w:rPr>
                <w:b/>
              </w:rPr>
              <w:t>Number of Securities to Be Issued Upon Exercise of Outstanding Options, Warrants and Rights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80" w:type="dxa"/>
            <w:gridSpan w:val="2"/>
            <w:tcBorders>
              <w:bottom w:val="single" w:sz="12" w:space="0" w:color="000000"/>
            </w:tcBorders>
            <w:vAlign w:val="center"/>
          </w:tcPr>
          <w:p>
            <w:pPr>
              <w:pStyle w:val="TableContents"/>
              <w:bidi w:val="0"/>
              <w:spacing w:before="0" w:after="283"/>
              <w:jc w:val="center"/>
              <w:rPr>
                <w:b/>
              </w:rPr>
            </w:pPr>
            <w:r>
              <w:rPr>
                <w:b/>
              </w:rPr>
              <w:t>Weighted Average Exercise Price of Outstanding Options, Warrants and Rights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37" w:type="dxa"/>
            <w:gridSpan w:val="2"/>
            <w:tcBorders>
              <w:bottom w:val="single" w:sz="12" w:space="0" w:color="000000"/>
            </w:tcBorders>
            <w:vAlign w:val="center"/>
          </w:tcPr>
          <w:p>
            <w:pPr>
              <w:pStyle w:val="TableContents"/>
              <w:bidi w:val="0"/>
              <w:spacing w:before="0" w:after="283"/>
              <w:jc w:val="center"/>
              <w:rPr>
                <w:b/>
              </w:rPr>
            </w:pPr>
            <w:r>
              <w:rPr>
                <w:b/>
              </w:rPr>
              <w:t>Number of Remaining Shares Available for Future Securities Issuance Under Equity Compensation Plans</w:t>
            </w:r>
          </w:p>
        </w:tc>
        <w:tc>
          <w:tcPr>
            <w:tcW w:w="139" w:type="dxa"/>
            <w:tcBorders/>
            <w:tcMar>
              <w:bottom w:w="0" w:type="dxa"/>
            </w:tcMar>
            <w:vAlign w:val="center"/>
          </w:tcPr>
          <w:p>
            <w:pPr>
              <w:pStyle w:val="TableContents"/>
              <w:bidi w:val="0"/>
              <w:spacing w:before="0" w:after="283"/>
              <w:jc w:val="left"/>
              <w:rPr/>
            </w:pPr>
            <w:r>
              <w:rPr/>
              <w:t> </w:t>
            </w:r>
          </w:p>
        </w:tc>
      </w:tr>
      <w:tr>
        <w:trPr/>
        <w:tc>
          <w:tcPr>
            <w:tcW w:w="1994"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4" w:type="dxa"/>
            <w:tcBorders/>
            <w:shd w:fill="CCEEFF" w:val="clear"/>
            <w:tcMar>
              <w:bottom w:w="0" w:type="dxa"/>
            </w:tcMar>
            <w:vAlign w:val="center"/>
          </w:tcPr>
          <w:p>
            <w:pPr>
              <w:pStyle w:val="TableContents"/>
              <w:bidi w:val="0"/>
              <w:spacing w:before="0" w:after="283"/>
              <w:jc w:val="left"/>
              <w:rPr/>
            </w:pPr>
            <w:r>
              <w:rPr/>
              <w:t> </w:t>
            </w:r>
          </w:p>
        </w:tc>
        <w:tc>
          <w:tcPr>
            <w:tcW w:w="2261" w:type="dxa"/>
            <w:tcBorders/>
            <w:shd w:fill="CCEEFF" w:val="clear"/>
            <w:tcMar>
              <w:bottom w:w="0" w:type="dxa"/>
            </w:tcMar>
            <w:vAlign w:val="center"/>
          </w:tcPr>
          <w:p>
            <w:pPr>
              <w:pStyle w:val="TableContents"/>
              <w:bidi w:val="0"/>
              <w:spacing w:before="0" w:after="283"/>
              <w:jc w:val="right"/>
              <w:rPr/>
            </w:pPr>
            <w:r>
              <w:rPr/>
              <w:t>455,360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4" w:type="dxa"/>
            <w:tcBorders/>
            <w:shd w:fill="CCEEFF" w:val="clear"/>
            <w:tcMar>
              <w:bottom w:w="0" w:type="dxa"/>
            </w:tcMar>
            <w:vAlign w:val="center"/>
          </w:tcPr>
          <w:p>
            <w:pPr>
              <w:pStyle w:val="TableContents"/>
              <w:bidi w:val="0"/>
              <w:spacing w:before="0" w:after="283"/>
              <w:jc w:val="left"/>
              <w:rPr/>
            </w:pPr>
            <w:r>
              <w:rPr/>
              <w:t>$</w:t>
            </w:r>
          </w:p>
        </w:tc>
        <w:tc>
          <w:tcPr>
            <w:tcW w:w="1676" w:type="dxa"/>
            <w:tcBorders/>
            <w:shd w:fill="CCEEFF" w:val="clear"/>
            <w:tcMar>
              <w:bottom w:w="0" w:type="dxa"/>
            </w:tcMar>
            <w:vAlign w:val="center"/>
          </w:tcPr>
          <w:p>
            <w:pPr>
              <w:pStyle w:val="TableContents"/>
              <w:bidi w:val="0"/>
              <w:spacing w:before="0" w:after="283"/>
              <w:jc w:val="right"/>
              <w:rPr/>
            </w:pPr>
            <w:r>
              <w:rPr/>
              <w:t>6.01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2561" w:type="dxa"/>
            <w:tcBorders/>
            <w:shd w:fill="CCEEFF" w:val="clear"/>
            <w:tcMar>
              <w:bottom w:w="0" w:type="dxa"/>
            </w:tcMar>
            <w:vAlign w:val="center"/>
          </w:tcPr>
          <w:p>
            <w:pPr>
              <w:pStyle w:val="TableContents"/>
              <w:bidi w:val="0"/>
              <w:spacing w:before="0" w:after="283"/>
              <w:jc w:val="right"/>
              <w:rPr/>
            </w:pPr>
            <w:r>
              <w:rPr/>
              <w:t>364,044</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994" w:type="dxa"/>
            <w:tcBorders/>
            <w:shd w:fill="FFFFFF" w:val="clear"/>
            <w:tcMar>
              <w:bottom w:w="0" w:type="dxa"/>
            </w:tcMar>
            <w:vAlign w:val="center"/>
          </w:tcPr>
          <w:p>
            <w:pPr>
              <w:pStyle w:val="TableContents"/>
              <w:bidi w:val="0"/>
              <w:spacing w:before="0" w:after="283"/>
              <w:jc w:val="left"/>
              <w:rPr/>
            </w:pPr>
            <w:r>
              <w:rPr/>
              <w:t>Equity compensation plans not approved by security holders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4" w:type="dxa"/>
            <w:tcBorders>
              <w:bottom w:val="single" w:sz="12" w:space="0" w:color="000000"/>
            </w:tcBorders>
            <w:shd w:fill="FFFFFF" w:val="clear"/>
            <w:vAlign w:val="center"/>
          </w:tcPr>
          <w:p>
            <w:pPr>
              <w:pStyle w:val="TableContents"/>
              <w:bidi w:val="0"/>
              <w:spacing w:before="0" w:after="283"/>
              <w:jc w:val="left"/>
              <w:rPr/>
            </w:pPr>
            <w:r>
              <w:rPr/>
              <w:t> </w:t>
            </w:r>
          </w:p>
        </w:tc>
        <w:tc>
          <w:tcPr>
            <w:tcW w:w="2261" w:type="dxa"/>
            <w:tcBorders>
              <w:bottom w:val="single" w:sz="12" w:space="0" w:color="000000"/>
            </w:tcBorders>
            <w:shd w:fill="FFFFFF" w:val="clear"/>
            <w:vAlign w:val="center"/>
          </w:tcPr>
          <w:p>
            <w:pPr>
              <w:pStyle w:val="TableContents"/>
              <w:bidi w:val="0"/>
              <w:spacing w:before="0" w:after="283"/>
              <w:jc w:val="right"/>
              <w:rPr/>
            </w:pPr>
            <w:r>
              <w:rPr/>
              <w:t> </w:t>
            </w:r>
            <w:r>
              <w:rPr>
                <w:rFonts w:ascii="Times New Roman;Times;Serif" w:hAnsi="Times New Roman;Times;Serif"/>
                <w:sz w:val="20"/>
              </w:rPr>
              <w:t xml:space="preserve">None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04" w:type="dxa"/>
            <w:tcBorders/>
            <w:shd w:fill="FFFFFF" w:val="clear"/>
            <w:tcMar>
              <w:bottom w:w="0" w:type="dxa"/>
            </w:tcMar>
            <w:vAlign w:val="center"/>
          </w:tcPr>
          <w:p>
            <w:pPr>
              <w:pStyle w:val="TableContents"/>
              <w:bidi w:val="0"/>
              <w:spacing w:before="0" w:after="283"/>
              <w:jc w:val="left"/>
              <w:rPr/>
            </w:pPr>
            <w:r>
              <w:rPr/>
              <w:t> </w:t>
            </w:r>
          </w:p>
        </w:tc>
        <w:tc>
          <w:tcPr>
            <w:tcW w:w="1676" w:type="dxa"/>
            <w:tcBorders/>
            <w:shd w:fill="FFFFFF" w:val="clear"/>
            <w:tcMar>
              <w:bottom w:w="0" w:type="dxa"/>
            </w:tcMar>
            <w:vAlign w:val="center"/>
          </w:tcPr>
          <w:p>
            <w:pPr>
              <w:pStyle w:val="TableContents"/>
              <w:bidi w:val="0"/>
              <w:spacing w:before="0" w:after="283"/>
              <w:jc w:val="right"/>
              <w:rPr/>
            </w:pPr>
            <w:r>
              <w:rPr/>
              <w:t>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shd w:fill="FFFFFF" w:val="clear"/>
            <w:vAlign w:val="center"/>
          </w:tcPr>
          <w:p>
            <w:pPr>
              <w:pStyle w:val="TableContents"/>
              <w:bidi w:val="0"/>
              <w:spacing w:before="0" w:after="283"/>
              <w:jc w:val="left"/>
              <w:rPr/>
            </w:pPr>
            <w:r>
              <w:rPr/>
              <w:t> </w:t>
            </w:r>
          </w:p>
        </w:tc>
        <w:tc>
          <w:tcPr>
            <w:tcW w:w="2561" w:type="dxa"/>
            <w:tcBorders>
              <w:bottom w:val="single" w:sz="12" w:space="0" w:color="000000"/>
            </w:tcBorders>
            <w:shd w:fill="FFFFFF" w:val="clear"/>
            <w:vAlign w:val="center"/>
          </w:tcPr>
          <w:p>
            <w:pPr>
              <w:pStyle w:val="TableContents"/>
              <w:bidi w:val="0"/>
              <w:spacing w:before="0" w:after="283"/>
              <w:jc w:val="right"/>
              <w:rPr/>
            </w:pPr>
            <w:r>
              <w:rPr/>
              <w:t> </w:t>
            </w:r>
            <w:r>
              <w:rPr>
                <w:rFonts w:ascii="Times New Roman;Times;Serif" w:hAnsi="Times New Roman;Times;Serif"/>
                <w:sz w:val="20"/>
              </w:rPr>
              <w:t xml:space="preserve">None </w:t>
            </w:r>
          </w:p>
        </w:tc>
        <w:tc>
          <w:tcPr>
            <w:tcW w:w="139" w:type="dxa"/>
            <w:tcBorders/>
            <w:shd w:fill="FFFFFF" w:val="clear"/>
            <w:tcMar>
              <w:bottom w:w="0" w:type="dxa"/>
            </w:tcMar>
            <w:vAlign w:val="center"/>
          </w:tcPr>
          <w:p>
            <w:pPr>
              <w:pStyle w:val="TableContents"/>
              <w:bidi w:val="0"/>
              <w:spacing w:before="0" w:after="283"/>
              <w:jc w:val="left"/>
              <w:rPr/>
            </w:pPr>
            <w:r>
              <w:rPr/>
              <w:t> </w:t>
            </w:r>
          </w:p>
        </w:tc>
      </w:tr>
      <w:tr>
        <w:trPr/>
        <w:tc>
          <w:tcPr>
            <w:tcW w:w="1994"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4" w:type="dxa"/>
            <w:tcBorders>
              <w:bottom w:val="double" w:sz="10" w:space="0" w:color="000000"/>
            </w:tcBorders>
            <w:shd w:fill="CCEEFF" w:val="clear"/>
            <w:vAlign w:val="center"/>
          </w:tcPr>
          <w:p>
            <w:pPr>
              <w:pStyle w:val="TableContents"/>
              <w:bidi w:val="0"/>
              <w:spacing w:before="0" w:after="283"/>
              <w:jc w:val="left"/>
              <w:rPr/>
            </w:pPr>
            <w:r>
              <w:rPr/>
              <w:t> </w:t>
            </w:r>
          </w:p>
        </w:tc>
        <w:tc>
          <w:tcPr>
            <w:tcW w:w="2261" w:type="dxa"/>
            <w:tcBorders>
              <w:bottom w:val="double" w:sz="10" w:space="0" w:color="000000"/>
            </w:tcBorders>
            <w:shd w:fill="CCEEFF" w:val="clear"/>
            <w:vAlign w:val="center"/>
          </w:tcPr>
          <w:p>
            <w:pPr>
              <w:pStyle w:val="TableContents"/>
              <w:bidi w:val="0"/>
              <w:spacing w:before="0" w:after="283"/>
              <w:jc w:val="right"/>
              <w:rPr/>
            </w:pPr>
            <w:r>
              <w:rPr/>
              <w:t>455,360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4" w:type="dxa"/>
            <w:tcBorders/>
            <w:shd w:fill="CCEEFF" w:val="clear"/>
            <w:tcMar>
              <w:bottom w:w="0" w:type="dxa"/>
            </w:tcMar>
            <w:vAlign w:val="center"/>
          </w:tcPr>
          <w:p>
            <w:pPr>
              <w:pStyle w:val="TableContents"/>
              <w:bidi w:val="0"/>
              <w:spacing w:before="0" w:after="283"/>
              <w:jc w:val="left"/>
              <w:rPr/>
            </w:pPr>
            <w:r>
              <w:rPr/>
              <w:t> </w:t>
            </w:r>
          </w:p>
        </w:tc>
        <w:tc>
          <w:tcPr>
            <w:tcW w:w="167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6" w:type="dxa"/>
            <w:tcBorders>
              <w:bottom w:val="double" w:sz="10" w:space="0" w:color="000000"/>
            </w:tcBorders>
            <w:shd w:fill="CCEEFF" w:val="clear"/>
            <w:vAlign w:val="center"/>
          </w:tcPr>
          <w:p>
            <w:pPr>
              <w:pStyle w:val="TableContents"/>
              <w:bidi w:val="0"/>
              <w:spacing w:before="0" w:after="283"/>
              <w:jc w:val="left"/>
              <w:rPr/>
            </w:pPr>
            <w:r>
              <w:rPr/>
              <w:t> </w:t>
            </w:r>
          </w:p>
        </w:tc>
        <w:tc>
          <w:tcPr>
            <w:tcW w:w="2561" w:type="dxa"/>
            <w:tcBorders>
              <w:bottom w:val="double" w:sz="10" w:space="0" w:color="000000"/>
            </w:tcBorders>
            <w:shd w:fill="CCEEFF" w:val="clear"/>
            <w:vAlign w:val="center"/>
          </w:tcPr>
          <w:p>
            <w:pPr>
              <w:pStyle w:val="TableContents"/>
              <w:bidi w:val="0"/>
              <w:spacing w:before="0" w:after="283"/>
              <w:jc w:val="right"/>
              <w:rPr/>
            </w:pPr>
            <w:r>
              <w:rPr/>
              <w:t>364,044</w:t>
            </w:r>
          </w:p>
        </w:tc>
        <w:tc>
          <w:tcPr>
            <w:tcW w:w="13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each of our equity compensation plans provide that shares covered by an award that is forfeited, expires or is settled in cash, and shares that are retained by us upon exercise of an award to satisfy the exercise price of such award or withholding taxes due in respect of such award, are available for future issuance under such plan, provided the plan has not been terminated or expired. We anticipate that a portion of the option awards that have been granted will expire or be forfeited without having been exercised and will increase the number of shares remaining for issuance under our equity compensation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previously reported in our periodic reports filed under the Exchange Act, we did not issue any unregistered equity securities during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Our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repurchases of our common stock were made during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ITEM 7. MANAGEMENT’S DISCUSSION AND ANALYSIS OF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our financial condition and results of operations should be read in conjunction with our audited consolidated financial statements for the years ended December 31, 2025 and 2024 and the notes to those statements included elsewhere in this report. This discussion contains forward-looking statements that involve risks and uncertainties. You should specifically consider the various risk factors identified in this report that could cause actual results to differ materially from those anticipated in these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are one of the leading manufacturers of precision components and assemblies for large aerospace and defense contractors. Our rich history dates to 1941, producing parts for World War II fighter aircraft. Since then, we have maintained an impeccable record with no known incidents of part failure leading to a fatal mission. We became a public company in 2005.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include landing gear, flight controls, engine mounts and components for aircraft jet engines and ground turbines and other complex machines. The ultimate end-user for most of our products is the U.S. government, international governments, and commercial global airlines. Whether it is a small individual component for assembly by others or complete assemblies we manufacture ourselves, our high quality and extremely reliable products are used in mission critical operations that are essential for safety of military personnel and civilians.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net sales are concentrated amongst a number of defense and aerospace prime contractors, we have cultivated long-standing relationships with a number of their subsidiaries and/or business units. Additionally, our net sales are generated across several high-profile platforms and programs including: the F-18 Hornet, the E-2 Hawkeye, the UH-60 Black Hawk Helicopters, Geared Turbo Engines (used on smaller aircraft such as the Airbus A220 and Embraer E2), the CH-53 Helicopter, the F-35 Lighting II and the F-15 Eagle Tactical Fighter. In many cases, we are the sole or single supplier of certain parts and components and receive LTAs from our customers, both demonstrating their commitment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Winning a new contract award is highly competitive. Our ability to win new contract awards generally requires us to deliver superior quality products, more quickly and with lower pricing than our competitors. Accordingly, we must continually invest in process improvements and capital equipment. Recent investments in new equipment have improved the productive capacity of our employees, increased our efficiency and speed, and expanded the size of products we can manufacture. We strategically operate two state-of-the-art manufacturing centers in the U.S. This allows for rigorous oversight of production and the adherence to stringent quality standards. Although there is currently a shortage of skilled workers, we maintain a highly trained and close- knit team of over 160 professionals committed to driving excellence and precision in every aspect of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period-to-period net sales and operating results are significantly impacted by timing. In addition, our gross profit is affected by a variety of factors, including the mix and complexity of products, production efficiencies, price competition and general business operating environments. In some cases, our gross profit is impacted by our ability to deliver replacement parts on short notice. Our operations have a large percentage of fixed factory overhead. As a result, our profit margins are highly variable with sales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past several years, despite facing significant financial and operational challenges, we have strategically invested substantial amounts in new capital equipment, tooling, and processes to bolster our competitive position. Additionally, we expanded our sales and marketing efforts, with a sharp focus on expanding relationships with existing customers and cultivating new ones. Looking forward to fiscal 2026, we are focused on securing new contract awards, improving operations and successful completion of the Merger Agreement (as discussed elsewhere in this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have total unfilled contract values amounting to $270.1 million (including our $136.8 million in backlog and all potential orders against LTA agreements previously awarded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Financial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5"/>
        <w:gridCol w:w="90"/>
        <w:gridCol w:w="170"/>
        <w:gridCol w:w="1130"/>
        <w:gridCol w:w="125"/>
        <w:gridCol w:w="90"/>
        <w:gridCol w:w="160"/>
        <w:gridCol w:w="1056"/>
        <w:gridCol w:w="245"/>
        <w:gridCol w:w="90"/>
        <w:gridCol w:w="170"/>
        <w:gridCol w:w="1130"/>
        <w:gridCol w:w="125"/>
        <w:gridCol w:w="90"/>
        <w:gridCol w:w="160"/>
        <w:gridCol w:w="1056"/>
        <w:gridCol w:w="245"/>
        <w:gridCol w:w="90"/>
        <w:gridCol w:w="172"/>
        <w:gridCol w:w="1103"/>
        <w:gridCol w:w="125"/>
        <w:gridCol w:w="90"/>
        <w:gridCol w:w="104"/>
        <w:gridCol w:w="829"/>
        <w:gridCol w:w="295"/>
      </w:tblGrid>
      <w:tr>
        <w:trPr/>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Percentage of</w:t>
              <w:br/>
              <w:t>Net Sales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Percentage of</w:t>
              <w:br/>
              <w:t>Net Sales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 2025</w:t>
              <w:br/>
              <w:t>vs 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br/>
              <w:t>Change 2025</w:t>
              <w:br/>
              <w:t>vs 2024</w:t>
            </w:r>
          </w:p>
        </w:tc>
        <w:tc>
          <w:tcPr>
            <w:tcW w:w="29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3" w:type="dxa"/>
            <w:gridSpan w:val="2"/>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47,921,000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55,108,000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(7,187,000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-13.04</w:t>
            </w:r>
          </w:p>
        </w:tc>
        <w:tc>
          <w:tcPr>
            <w:tcW w:w="295" w:type="dxa"/>
            <w:tcBorders/>
            <w:shd w:fill="CCEEFF" w:val="clear"/>
            <w:vAlign w:val="center"/>
          </w:tcPr>
          <w:p>
            <w:pPr>
              <w:pStyle w:val="TableContents"/>
              <w:bidi w:val="0"/>
              <w:spacing w:before="0" w:after="283"/>
              <w:jc w:val="left"/>
              <w:rPr/>
            </w:pPr>
            <w:r>
              <w:rPr/>
              <w:t>%</w:t>
            </w:r>
          </w:p>
        </w:tc>
      </w:tr>
      <w:tr>
        <w:trPr/>
        <w:tc>
          <w:tcPr>
            <w:tcW w:w="1265" w:type="dxa"/>
            <w:tcBorders/>
            <w:shd w:fill="FFFFFF" w:val="clear"/>
            <w:vAlign w:val="center"/>
          </w:tcPr>
          <w:p>
            <w:pPr>
              <w:pStyle w:val="TableContents"/>
              <w:bidi w:val="0"/>
              <w:spacing w:before="0" w:after="283"/>
              <w:jc w:val="left"/>
              <w:rPr/>
            </w:pPr>
            <w:r>
              <w:rPr/>
              <w:t>Cost of sales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39,734,000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FFFFFF" w:val="clear"/>
            <w:tcMar>
              <w:bottom w:w="28" w:type="dxa"/>
            </w:tcMar>
            <w:vAlign w:val="center"/>
          </w:tcPr>
          <w:p>
            <w:pPr>
              <w:pStyle w:val="TableContents"/>
              <w:bidi w:val="0"/>
              <w:spacing w:before="0" w:after="283"/>
              <w:jc w:val="right"/>
              <w:rPr/>
            </w:pPr>
            <w:r>
              <w:rPr/>
              <w:t>82.9</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46,176,000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FFFFFF" w:val="clear"/>
            <w:tcMar>
              <w:bottom w:w="28" w:type="dxa"/>
            </w:tcMar>
            <w:vAlign w:val="center"/>
          </w:tcPr>
          <w:p>
            <w:pPr>
              <w:pStyle w:val="TableContents"/>
              <w:bidi w:val="0"/>
              <w:spacing w:before="0" w:after="283"/>
              <w:jc w:val="right"/>
              <w:rPr/>
            </w:pPr>
            <w:r>
              <w:rPr/>
              <w:t>83.8</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(6,442,000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-13.95</w:t>
            </w:r>
          </w:p>
        </w:tc>
        <w:tc>
          <w:tcPr>
            <w:tcW w:w="295" w:type="dxa"/>
            <w:tcBorders/>
            <w:shd w:fill="FFFFFF" w:val="clear"/>
            <w:vAlign w:val="center"/>
          </w:tcPr>
          <w:p>
            <w:pPr>
              <w:pStyle w:val="TableContents"/>
              <w:bidi w:val="0"/>
              <w:spacing w:before="0" w:after="283"/>
              <w:jc w:val="left"/>
              <w:rPr/>
            </w:pPr>
            <w:r>
              <w:rPr/>
              <w:t>%</w:t>
            </w:r>
          </w:p>
        </w:tc>
      </w:tr>
      <w:tr>
        <w:trPr/>
        <w:tc>
          <w:tcPr>
            <w:tcW w:w="126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8,187,000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17.1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8,932,000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16.2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(745,000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-8.34</w:t>
            </w:r>
          </w:p>
        </w:tc>
        <w:tc>
          <w:tcPr>
            <w:tcW w:w="295" w:type="dxa"/>
            <w:tcBorders/>
            <w:shd w:fill="CCEEFF" w:val="clear"/>
            <w:vAlign w:val="center"/>
          </w:tcPr>
          <w:p>
            <w:pPr>
              <w:pStyle w:val="TableContents"/>
              <w:bidi w:val="0"/>
              <w:spacing w:before="0" w:after="283"/>
              <w:jc w:val="left"/>
              <w:rPr/>
            </w:pPr>
            <w:r>
              <w:rPr/>
              <w:t>%</w:t>
            </w:r>
          </w:p>
        </w:tc>
      </w:tr>
      <w:tr>
        <w:trPr/>
        <w:tc>
          <w:tcPr>
            <w:tcW w:w="1265" w:type="dxa"/>
            <w:tcBorders/>
            <w:shd w:fill="FFFFFF" w:val="clear"/>
            <w:vAlign w:val="center"/>
          </w:tcPr>
          <w:p>
            <w:pPr>
              <w:pStyle w:val="TableContents"/>
              <w:bidi w:val="0"/>
              <w:spacing w:before="0" w:after="283"/>
              <w:jc w:val="left"/>
              <w:rPr/>
            </w:pPr>
            <w:r>
              <w:rPr/>
              <w:t>Operating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8,525,000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17.8</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8,473,000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15.4</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52,000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0.61</w:t>
            </w:r>
          </w:p>
        </w:tc>
        <w:tc>
          <w:tcPr>
            <w:tcW w:w="295" w:type="dxa"/>
            <w:tcBorders/>
            <w:shd w:fill="FFFFFF" w:val="clear"/>
            <w:vAlign w:val="center"/>
          </w:tcPr>
          <w:p>
            <w:pPr>
              <w:pStyle w:val="TableContents"/>
              <w:bidi w:val="0"/>
              <w:spacing w:before="0" w:after="283"/>
              <w:jc w:val="left"/>
              <w:rPr/>
            </w:pPr>
            <w:r>
              <w:rPr/>
              <w:t>%</w:t>
            </w:r>
          </w:p>
        </w:tc>
      </w:tr>
      <w:tr>
        <w:trPr/>
        <w:tc>
          <w:tcPr>
            <w:tcW w:w="126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1,841,000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3.8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1,893,000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3.4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(52,000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-2.75</w:t>
            </w:r>
          </w:p>
        </w:tc>
        <w:tc>
          <w:tcPr>
            <w:tcW w:w="295" w:type="dxa"/>
            <w:tcBorders/>
            <w:shd w:fill="CCEEFF" w:val="clear"/>
            <w:vAlign w:val="center"/>
          </w:tcPr>
          <w:p>
            <w:pPr>
              <w:pStyle w:val="TableContents"/>
              <w:bidi w:val="0"/>
              <w:spacing w:before="0" w:after="283"/>
              <w:jc w:val="left"/>
              <w:rPr/>
            </w:pPr>
            <w:r>
              <w:rPr/>
              <w:t>%</w:t>
            </w:r>
          </w:p>
        </w:tc>
      </w:tr>
      <w:tr>
        <w:trPr/>
        <w:tc>
          <w:tcPr>
            <w:tcW w:w="1265" w:type="dxa"/>
            <w:tcBorders/>
            <w:shd w:fill="FFFFFF" w:val="clear"/>
            <w:vAlign w:val="center"/>
          </w:tcPr>
          <w:p>
            <w:pPr>
              <w:pStyle w:val="TableContents"/>
              <w:bidi w:val="0"/>
              <w:spacing w:before="0" w:after="283"/>
              <w:jc w:val="left"/>
              <w:rPr/>
            </w:pPr>
            <w:r>
              <w:rPr/>
              <w:t>Other income,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743,000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1.6</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68,000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0.1</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675,000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992.65</w:t>
            </w:r>
          </w:p>
        </w:tc>
        <w:tc>
          <w:tcPr>
            <w:tcW w:w="295" w:type="dxa"/>
            <w:tcBorders/>
            <w:shd w:fill="FFFFFF" w:val="clear"/>
            <w:vAlign w:val="center"/>
          </w:tcPr>
          <w:p>
            <w:pPr>
              <w:pStyle w:val="TableContents"/>
              <w:bidi w:val="0"/>
              <w:spacing w:before="0" w:after="283"/>
              <w:jc w:val="left"/>
              <w:rPr/>
            </w:pPr>
            <w:r>
              <w:rPr/>
              <w:t>%</w:t>
            </w:r>
          </w:p>
        </w:tc>
      </w:tr>
      <w:tr>
        <w:trPr/>
        <w:tc>
          <w:tcPr>
            <w:tcW w:w="1265" w:type="dxa"/>
            <w:tcBorders/>
            <w:shd w:fill="CCEEFF" w:val="clear"/>
            <w:vAlign w:val="center"/>
          </w:tcPr>
          <w:p>
            <w:pPr>
              <w:pStyle w:val="TableContents"/>
              <w:bidi w:val="0"/>
              <w:spacing w:before="0" w:after="283"/>
              <w:jc w:val="left"/>
              <w:rPr/>
            </w:pPr>
            <w:r>
              <w:rPr/>
              <w:t>Benefit from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(131,000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pPr>
            <w:r>
              <w:rPr/>
              <w:t>-0.3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(131,000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Net loss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pPr>
            <w:r>
              <w:rPr/>
              <w:t>(1,305,000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double" w:sz="10" w:space="0" w:color="000000"/>
            </w:tcBorders>
            <w:shd w:fill="FFFFFF" w:val="clear"/>
            <w:tcMar>
              <w:bottom w:w="28" w:type="dxa"/>
            </w:tcMar>
            <w:vAlign w:val="center"/>
          </w:tcPr>
          <w:p>
            <w:pPr>
              <w:pStyle w:val="TableContents"/>
              <w:bidi w:val="0"/>
              <w:spacing w:before="0" w:after="283"/>
              <w:jc w:val="right"/>
              <w:rPr/>
            </w:pPr>
            <w:r>
              <w:rPr/>
              <w:t>-2.7</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pPr>
            <w:r>
              <w:rPr/>
              <w:t>(1,366,000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double" w:sz="10" w:space="0" w:color="000000"/>
            </w:tcBorders>
            <w:shd w:fill="FFFFFF" w:val="clear"/>
            <w:tcMar>
              <w:bottom w:w="28" w:type="dxa"/>
            </w:tcMar>
            <w:vAlign w:val="center"/>
          </w:tcPr>
          <w:p>
            <w:pPr>
              <w:pStyle w:val="TableContents"/>
              <w:bidi w:val="0"/>
              <w:spacing w:before="0" w:after="283"/>
              <w:jc w:val="right"/>
              <w:rPr/>
            </w:pPr>
            <w:r>
              <w:rPr/>
              <w:t>-2.5</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shd w:fill="FFFFFF" w:val="clear"/>
            <w:tcMar>
              <w:bottom w:w="28" w:type="dxa"/>
            </w:tcMar>
            <w:vAlign w:val="center"/>
          </w:tcPr>
          <w:p>
            <w:pPr>
              <w:pStyle w:val="TableContents"/>
              <w:bidi w:val="0"/>
              <w:spacing w:before="0" w:after="283"/>
              <w:jc w:val="right"/>
              <w:rPr/>
            </w:pPr>
            <w:r>
              <w:rPr/>
              <w:t>61,000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pPr>
            <w:r>
              <w:rPr/>
              <w:t>-4.47</w:t>
            </w:r>
          </w:p>
        </w:tc>
        <w:tc>
          <w:tcPr>
            <w:tcW w:w="29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Balance Sheet Data:</w:t>
      </w:r>
    </w:p>
    <w:p>
      <w:pPr>
        <w:pStyle w:val="TextBody"/>
        <w:bidi w:val="0"/>
        <w:spacing w:before="0" w:after="0"/>
        <w:ind w:left="0" w:right="0" w:hanging="0"/>
        <w:jc w:val="left"/>
        <w:rPr>
          <w:caps w:val="false"/>
          <w:smallCaps w:val="false"/>
        </w:rPr>
      </w:pPr>
      <w:r>
        <w:rPr>
          <w:caps w:val="false"/>
          <w:smallCaps w:val="false"/>
        </w:rPr>
        <w:t> </w:t>
      </w:r>
    </w:p>
    <w:tbl>
      <w:tblPr>
        <w:tblW w:w="8468" w:type="dxa"/>
        <w:jc w:val="left"/>
        <w:tblInd w:w="0" w:type="dxa"/>
        <w:tblLayout w:type="fixed"/>
        <w:tblCellMar>
          <w:top w:w="0" w:type="dxa"/>
          <w:left w:w="0" w:type="dxa"/>
          <w:bottom w:w="0" w:type="dxa"/>
          <w:right w:w="0" w:type="dxa"/>
        </w:tblCellMar>
      </w:tblPr>
      <w:tblGrid>
        <w:gridCol w:w="2525"/>
        <w:gridCol w:w="90"/>
        <w:gridCol w:w="188"/>
        <w:gridCol w:w="1256"/>
        <w:gridCol w:w="90"/>
        <w:gridCol w:w="90"/>
        <w:gridCol w:w="188"/>
        <w:gridCol w:w="1256"/>
        <w:gridCol w:w="90"/>
        <w:gridCol w:w="90"/>
        <w:gridCol w:w="170"/>
        <w:gridCol w:w="1085"/>
        <w:gridCol w:w="125"/>
        <w:gridCol w:w="90"/>
        <w:gridCol w:w="99"/>
        <w:gridCol w:w="746"/>
        <w:gridCol w:w="290"/>
      </w:tblGrid>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rPr>
            </w:pPr>
            <w:r>
              <w:rPr>
                <w:b/>
              </w:rPr>
              <w:t>Percent</w:t>
            </w:r>
          </w:p>
        </w:tc>
        <w:tc>
          <w:tcPr>
            <w:tcW w:w="29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680,000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753,000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(73,000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-9.69</w:t>
            </w:r>
          </w:p>
        </w:tc>
        <w:tc>
          <w:tcPr>
            <w:tcW w:w="290" w:type="dxa"/>
            <w:tcBorders/>
            <w:shd w:fill="CCEEFF" w:val="clear"/>
            <w:vAlign w:val="center"/>
          </w:tcPr>
          <w:p>
            <w:pPr>
              <w:pStyle w:val="TableContents"/>
              <w:bidi w:val="0"/>
              <w:spacing w:before="0" w:after="283"/>
              <w:jc w:val="left"/>
              <w:rPr/>
            </w:pPr>
            <w:r>
              <w:rPr/>
              <w:t>%</w:t>
            </w:r>
          </w:p>
        </w:tc>
      </w:tr>
      <w:tr>
        <w:trPr/>
        <w:tc>
          <w:tcPr>
            <w:tcW w:w="2525" w:type="dxa"/>
            <w:tcBorders/>
            <w:shd w:fill="FFFFFF" w:val="clear"/>
            <w:vAlign w:val="center"/>
          </w:tcPr>
          <w:p>
            <w:pPr>
              <w:pStyle w:val="TableContents"/>
              <w:bidi w:val="0"/>
              <w:spacing w:before="0" w:after="283"/>
              <w:jc w:val="left"/>
              <w:rPr/>
            </w:pPr>
            <w:r>
              <w:rPr/>
              <w:t>Working capital</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5,238,000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11,776,000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(6,532,000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-55.47</w:t>
            </w:r>
          </w:p>
        </w:tc>
        <w:tc>
          <w:tcPr>
            <w:tcW w:w="29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58,329,000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51,011,000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7,318,000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14.35</w:t>
            </w:r>
          </w:p>
        </w:tc>
        <w:tc>
          <w:tcPr>
            <w:tcW w:w="290" w:type="dxa"/>
            <w:tcBorders/>
            <w:shd w:fill="CCEEFF" w:val="clear"/>
            <w:vAlign w:val="center"/>
          </w:tcPr>
          <w:p>
            <w:pPr>
              <w:pStyle w:val="TableContents"/>
              <w:bidi w:val="0"/>
              <w:spacing w:before="0" w:after="283"/>
              <w:jc w:val="left"/>
              <w:rPr/>
            </w:pPr>
            <w:r>
              <w:rPr/>
              <w:t>%</w:t>
            </w:r>
          </w:p>
        </w:tc>
      </w:tr>
      <w:tr>
        <w:trPr/>
        <w:tc>
          <w:tcPr>
            <w:tcW w:w="2525" w:type="dxa"/>
            <w:tcBorders/>
            <w:shd w:fill="FFFFFF" w:val="clear"/>
            <w:vAlign w:val="center"/>
          </w:tcPr>
          <w:p>
            <w:pPr>
              <w:pStyle w:val="TableContents"/>
              <w:bidi w:val="0"/>
              <w:spacing w:before="0" w:after="283"/>
              <w:jc w:val="left"/>
              <w:rPr/>
            </w:pPr>
            <w:r>
              <w:rPr/>
              <w:t>Total stockholders’ equity</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19,201,000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14,948,000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85" w:type="dxa"/>
            <w:tcBorders/>
            <w:shd w:fill="FFFFFF" w:val="clear"/>
            <w:vAlign w:val="center"/>
          </w:tcPr>
          <w:p>
            <w:pPr>
              <w:pStyle w:val="TableContents"/>
              <w:bidi w:val="0"/>
              <w:spacing w:before="0" w:after="283"/>
              <w:jc w:val="right"/>
              <w:rPr/>
            </w:pPr>
            <w:r>
              <w:rPr/>
              <w:t>4,253,000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28.45</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Fiscal 2025 to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Net Sales: </w:t>
      </w:r>
      <w:r>
        <w:rPr>
          <w:rFonts w:ascii="Times New Roman;Times;Serif" w:hAnsi="Times New Roman;Times;Serif"/>
          <w:b w:val="false"/>
          <w:i w:val="false"/>
          <w:caps w:val="false"/>
          <w:smallCaps w:val="false"/>
          <w:sz w:val="20"/>
        </w:rPr>
        <w:t>Net sales in 2025 were $47,921,000, a decrease of $7,187,000 or 13.0%, compared with $55,108,000 that we achieved in 2024. The year-over-year decrease in net sales was primarily due to timing and overall changes in the mix of products requested and delivered in response to customer orders.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customers that exceeded 10% of our net sales in either 2025 or 2024 are shown below:</w:t>
      </w:r>
    </w:p>
    <w:p>
      <w:pPr>
        <w:pStyle w:val="TextBody"/>
        <w:bidi w:val="0"/>
        <w:spacing w:before="0" w:after="0"/>
        <w:ind w:left="0" w:right="0" w:firstLine="720"/>
        <w:jc w:val="both"/>
        <w:rPr>
          <w:caps w:val="false"/>
          <w:smallCaps w:val="false"/>
        </w:rPr>
      </w:pPr>
      <w:r>
        <w:rPr>
          <w:caps w:val="false"/>
          <w:smallCaps w:val="false"/>
        </w:rPr>
        <w:t> </w:t>
      </w:r>
    </w:p>
    <w:tbl>
      <w:tblPr>
        <w:tblW w:w="4496" w:type="dxa"/>
        <w:jc w:val="left"/>
        <w:tblInd w:w="0" w:type="dxa"/>
        <w:tblLayout w:type="fixed"/>
        <w:tblCellMar>
          <w:top w:w="0" w:type="dxa"/>
          <w:left w:w="0" w:type="dxa"/>
          <w:bottom w:w="0" w:type="dxa"/>
          <w:right w:w="0" w:type="dxa"/>
        </w:tblCellMar>
      </w:tblPr>
      <w:tblGrid>
        <w:gridCol w:w="1700"/>
        <w:gridCol w:w="90"/>
        <w:gridCol w:w="149"/>
        <w:gridCol w:w="781"/>
        <w:gridCol w:w="407"/>
        <w:gridCol w:w="149"/>
        <w:gridCol w:w="149"/>
        <w:gridCol w:w="781"/>
        <w:gridCol w:w="290"/>
      </w:tblGrid>
      <w:tr>
        <w:trPr/>
        <w:tc>
          <w:tcPr>
            <w:tcW w:w="1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Net Sales</w:t>
            </w:r>
          </w:p>
        </w:tc>
        <w:tc>
          <w:tcPr>
            <w:tcW w:w="290" w:type="dxa"/>
            <w:tcBorders/>
            <w:vAlign w:val="center"/>
          </w:tcPr>
          <w:p>
            <w:pPr>
              <w:pStyle w:val="TableContents"/>
              <w:bidi w:val="0"/>
              <w:spacing w:before="0" w:after="283"/>
              <w:jc w:val="left"/>
              <w:rPr/>
            </w:pPr>
            <w:r>
              <w:rPr/>
              <w:t> </w:t>
            </w:r>
          </w:p>
        </w:tc>
      </w:tr>
      <w:tr>
        <w:trPr/>
        <w:tc>
          <w:tcPr>
            <w:tcW w:w="1700" w:type="dxa"/>
            <w:tcBorders>
              <w:bottom w:val="single" w:sz="12" w:space="0" w:color="000000"/>
            </w:tcBorders>
            <w:tcMar>
              <w:bottom w:w="28" w:type="dxa"/>
            </w:tcMar>
            <w:vAlign w:val="center"/>
          </w:tcPr>
          <w:p>
            <w:pPr>
              <w:pStyle w:val="TableContents"/>
              <w:bidi w:val="0"/>
              <w:spacing w:before="0" w:after="283"/>
              <w:jc w:val="left"/>
              <w:rPr>
                <w:b/>
              </w:rPr>
            </w:pPr>
            <w:r>
              <w:rPr>
                <w:b/>
              </w:rPr>
              <w:t>Customer</w:t>
            </w:r>
          </w:p>
        </w:tc>
        <w:tc>
          <w:tcPr>
            <w:tcW w:w="90" w:type="dxa"/>
            <w:tcBorders/>
            <w:vAlign w:val="center"/>
          </w:tcPr>
          <w:p>
            <w:pPr>
              <w:pStyle w:val="TableContents"/>
              <w:bidi w:val="0"/>
              <w:spacing w:before="0" w:after="283"/>
              <w:jc w:val="left"/>
              <w:rPr/>
            </w:pPr>
            <w:r>
              <w:rPr/>
              <w:t> </w:t>
            </w:r>
          </w:p>
        </w:tc>
        <w:tc>
          <w:tcPr>
            <w:tcW w:w="9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07"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RTX </w:t>
            </w:r>
            <w:r>
              <w:rPr>
                <w:rFonts w:ascii="Times New Roman;Times;Serif" w:hAnsi="Times New Roman;Times;Serif"/>
                <w:position w:val="7"/>
                <w:sz w:val="16"/>
                <w:sz w:val="20"/>
              </w:rPr>
              <w:t>(A)</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36.2</w:t>
            </w:r>
          </w:p>
        </w:tc>
        <w:tc>
          <w:tcPr>
            <w:tcW w:w="407" w:type="dxa"/>
            <w:tcBorders/>
            <w:shd w:fill="CCEEFF" w:val="clear"/>
            <w:vAlign w:val="center"/>
          </w:tcPr>
          <w:p>
            <w:pPr>
              <w:pStyle w:val="TableContents"/>
              <w:bidi w:val="0"/>
              <w:spacing w:before="0" w:after="283"/>
              <w:jc w:val="lef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29.3</w:t>
            </w:r>
          </w:p>
        </w:tc>
        <w:tc>
          <w:tcPr>
            <w:tcW w:w="290" w:type="dxa"/>
            <w:tcBorders/>
            <w:shd w:fill="CCEEFF" w:val="clear"/>
            <w:vAlign w:val="center"/>
          </w:tcPr>
          <w:p>
            <w:pPr>
              <w:pStyle w:val="TableContents"/>
              <w:bidi w:val="0"/>
              <w:spacing w:before="0" w:after="283"/>
              <w:jc w:val="left"/>
              <w:rPr/>
            </w:pPr>
            <w:r>
              <w:rPr/>
              <w:t>%</w:t>
            </w:r>
          </w:p>
        </w:tc>
      </w:tr>
      <w:tr>
        <w:trPr/>
        <w:tc>
          <w:tcPr>
            <w:tcW w:w="1700" w:type="dxa"/>
            <w:tcBorders/>
            <w:shd w:fill="FFFFFF" w:val="clear"/>
            <w:vAlign w:val="center"/>
          </w:tcPr>
          <w:p>
            <w:pPr>
              <w:pStyle w:val="TableContents"/>
              <w:bidi w:val="0"/>
              <w:spacing w:before="0" w:after="283"/>
              <w:jc w:val="left"/>
              <w:rPr/>
            </w:pPr>
            <w:r>
              <w:rPr/>
              <w:t>Lockheed Martin</w:t>
            </w:r>
          </w:p>
        </w:tc>
        <w:tc>
          <w:tcPr>
            <w:tcW w:w="9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32.3</w:t>
            </w:r>
          </w:p>
        </w:tc>
        <w:tc>
          <w:tcPr>
            <w:tcW w:w="407" w:type="dxa"/>
            <w:tcBorders/>
            <w:shd w:fill="FFFFFF" w:val="clear"/>
            <w:vAlign w:val="center"/>
          </w:tcPr>
          <w:p>
            <w:pPr>
              <w:pStyle w:val="TableContents"/>
              <w:bidi w:val="0"/>
              <w:spacing w:before="0" w:after="283"/>
              <w:jc w:val="left"/>
              <w:rPr/>
            </w:pPr>
            <w:r>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25.1</w:t>
            </w:r>
          </w:p>
        </w:tc>
        <w:tc>
          <w:tcPr>
            <w:tcW w:w="290" w:type="dxa"/>
            <w:tcBorders/>
            <w:shd w:fill="FFFFFF" w:val="clear"/>
            <w:vAlign w:val="center"/>
          </w:tcPr>
          <w:p>
            <w:pPr>
              <w:pStyle w:val="TableContents"/>
              <w:bidi w:val="0"/>
              <w:spacing w:before="0" w:after="283"/>
              <w:jc w:val="left"/>
              <w:rPr/>
            </w:pPr>
            <w:r>
              <w:rPr/>
              <w:t>%</w:t>
            </w:r>
          </w:p>
        </w:tc>
      </w:tr>
      <w:tr>
        <w:trPr/>
        <w:tc>
          <w:tcPr>
            <w:tcW w:w="1700" w:type="dxa"/>
            <w:tcBorders/>
            <w:shd w:fill="CCEEFF" w:val="clear"/>
            <w:vAlign w:val="center"/>
          </w:tcPr>
          <w:p>
            <w:pPr>
              <w:pStyle w:val="TableContents"/>
              <w:bidi w:val="0"/>
              <w:spacing w:before="0" w:after="283"/>
              <w:jc w:val="left"/>
              <w:rPr/>
            </w:pPr>
            <w:r>
              <w:rPr/>
              <w:t>Northrop</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6.7</w:t>
            </w:r>
          </w:p>
        </w:tc>
        <w:tc>
          <w:tcPr>
            <w:tcW w:w="407" w:type="dxa"/>
            <w:tcBorders/>
            <w:shd w:fill="CCEEFF" w:val="clear"/>
            <w:vAlign w:val="center"/>
          </w:tcPr>
          <w:p>
            <w:pPr>
              <w:pStyle w:val="TableContents"/>
              <w:bidi w:val="0"/>
              <w:spacing w:before="0" w:after="283"/>
              <w:jc w:val="lef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18.3</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RTX includes Collins Landing Systems and Collins Aerostructures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net sales by platform or program profiles for the years ended December 31, 2025 and 2024 are shown below:</w:t>
      </w:r>
    </w:p>
    <w:p>
      <w:pPr>
        <w:pStyle w:val="TextBody"/>
        <w:bidi w:val="0"/>
        <w:spacing w:before="0" w:after="0"/>
        <w:ind w:left="0" w:right="0" w:hanging="0"/>
        <w:jc w:val="left"/>
        <w:rPr>
          <w:caps w:val="false"/>
          <w:smallCaps w:val="false"/>
        </w:rPr>
      </w:pPr>
      <w:r>
        <w:rPr>
          <w:caps w:val="false"/>
          <w:smallCaps w:val="false"/>
        </w:rPr>
        <w:t> </w:t>
      </w:r>
    </w:p>
    <w:tbl>
      <w:tblPr>
        <w:tblW w:w="5847" w:type="dxa"/>
        <w:jc w:val="left"/>
        <w:tblInd w:w="0" w:type="dxa"/>
        <w:tblLayout w:type="fixed"/>
        <w:tblCellMar>
          <w:top w:w="0" w:type="dxa"/>
          <w:left w:w="0" w:type="dxa"/>
          <w:bottom w:w="0" w:type="dxa"/>
          <w:right w:w="0" w:type="dxa"/>
        </w:tblCellMar>
      </w:tblPr>
      <w:tblGrid>
        <w:gridCol w:w="3050"/>
        <w:gridCol w:w="90"/>
        <w:gridCol w:w="128"/>
        <w:gridCol w:w="842"/>
        <w:gridCol w:w="349"/>
        <w:gridCol w:w="128"/>
        <w:gridCol w:w="128"/>
        <w:gridCol w:w="842"/>
        <w:gridCol w:w="290"/>
      </w:tblGrid>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Net Sales</w:t>
            </w:r>
          </w:p>
        </w:tc>
        <w:tc>
          <w:tcPr>
            <w:tcW w:w="290" w:type="dxa"/>
            <w:tcBorders/>
            <w:vAlign w:val="center"/>
          </w:tcPr>
          <w:p>
            <w:pPr>
              <w:pStyle w:val="TableContents"/>
              <w:bidi w:val="0"/>
              <w:spacing w:before="0" w:after="283"/>
              <w:jc w:val="left"/>
              <w:rPr/>
            </w:pPr>
            <w:r>
              <w:rPr/>
              <w:t> </w:t>
            </w:r>
          </w:p>
        </w:tc>
      </w:tr>
      <w:tr>
        <w:trPr/>
        <w:tc>
          <w:tcPr>
            <w:tcW w:w="3050" w:type="dxa"/>
            <w:tcBorders>
              <w:bottom w:val="single" w:sz="12" w:space="0" w:color="000000"/>
            </w:tcBorders>
            <w:tcMar>
              <w:bottom w:w="28" w:type="dxa"/>
            </w:tcMar>
            <w:vAlign w:val="center"/>
          </w:tcPr>
          <w:p>
            <w:pPr>
              <w:pStyle w:val="TableContents"/>
              <w:bidi w:val="0"/>
              <w:spacing w:before="0" w:after="283"/>
              <w:jc w:val="left"/>
              <w:rPr>
                <w:b/>
              </w:rPr>
            </w:pPr>
            <w:r>
              <w:rPr>
                <w:b/>
              </w:rPr>
              <w:t>Platform or Program</w:t>
            </w:r>
          </w:p>
        </w:tc>
        <w:tc>
          <w:tcPr>
            <w:tcW w:w="9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4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GTF</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31.4</w:t>
            </w:r>
          </w:p>
        </w:tc>
        <w:tc>
          <w:tcPr>
            <w:tcW w:w="34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22.0</w:t>
            </w:r>
          </w:p>
        </w:tc>
        <w:tc>
          <w:tcPr>
            <w:tcW w:w="290"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UH-60 Black Hawk Helicopter</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21.0</w:t>
            </w:r>
          </w:p>
        </w:tc>
        <w:tc>
          <w:tcPr>
            <w:tcW w:w="349" w:type="dxa"/>
            <w:tcBorders/>
            <w:shd w:fill="FFFFFF" w:val="clear"/>
            <w:vAlign w:val="center"/>
          </w:tcPr>
          <w:p>
            <w:pPr>
              <w:pStyle w:val="TableContents"/>
              <w:bidi w:val="0"/>
              <w:spacing w:before="0" w:after="283"/>
              <w:jc w:val="lef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23.1</w:t>
            </w:r>
          </w:p>
        </w:tc>
        <w:tc>
          <w:tcPr>
            <w:tcW w:w="290" w:type="dxa"/>
            <w:tcBorders/>
            <w:shd w:fill="FFFFFF" w:val="clear"/>
            <w:vAlign w:val="center"/>
          </w:tcPr>
          <w:p>
            <w:pPr>
              <w:pStyle w:val="TableContents"/>
              <w:bidi w:val="0"/>
              <w:spacing w:before="0" w:after="283"/>
              <w:jc w:val="left"/>
              <w:rPr/>
            </w:pPr>
            <w:r>
              <w:rPr/>
              <w:t>%</w:t>
            </w:r>
          </w:p>
        </w:tc>
      </w:tr>
      <w:tr>
        <w:trPr/>
        <w:tc>
          <w:tcPr>
            <w:tcW w:w="3050" w:type="dxa"/>
            <w:tcBorders/>
            <w:shd w:fill="CCEEFF" w:val="clear"/>
            <w:vAlign w:val="center"/>
          </w:tcPr>
          <w:p>
            <w:pPr>
              <w:pStyle w:val="TableContents"/>
              <w:bidi w:val="0"/>
              <w:spacing w:before="0" w:after="283"/>
              <w:jc w:val="left"/>
              <w:rPr/>
            </w:pPr>
            <w:r>
              <w:rPr/>
              <w:t>CH-53 Helicopter</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12.0</w:t>
            </w:r>
          </w:p>
        </w:tc>
        <w:tc>
          <w:tcPr>
            <w:tcW w:w="34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3.4</w:t>
            </w:r>
          </w:p>
        </w:tc>
        <w:tc>
          <w:tcPr>
            <w:tcW w:w="290"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E2-D Hawkeye</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9.1</w:t>
            </w:r>
          </w:p>
        </w:tc>
        <w:tc>
          <w:tcPr>
            <w:tcW w:w="349" w:type="dxa"/>
            <w:tcBorders/>
            <w:shd w:fill="FFFFFF" w:val="clear"/>
            <w:vAlign w:val="center"/>
          </w:tcPr>
          <w:p>
            <w:pPr>
              <w:pStyle w:val="TableContents"/>
              <w:bidi w:val="0"/>
              <w:spacing w:before="0" w:after="283"/>
              <w:jc w:val="lef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24.0</w:t>
            </w:r>
          </w:p>
        </w:tc>
        <w:tc>
          <w:tcPr>
            <w:tcW w:w="290" w:type="dxa"/>
            <w:tcBorders/>
            <w:shd w:fill="FFFFFF" w:val="clear"/>
            <w:vAlign w:val="center"/>
          </w:tcPr>
          <w:p>
            <w:pPr>
              <w:pStyle w:val="TableContents"/>
              <w:bidi w:val="0"/>
              <w:spacing w:before="0" w:after="283"/>
              <w:jc w:val="left"/>
              <w:rPr/>
            </w:pPr>
            <w:r>
              <w:rPr/>
              <w:t>%</w:t>
            </w:r>
          </w:p>
        </w:tc>
      </w:tr>
      <w:tr>
        <w:trPr/>
        <w:tc>
          <w:tcPr>
            <w:tcW w:w="3050" w:type="dxa"/>
            <w:tcBorders/>
            <w:shd w:fill="CCEEFF" w:val="clear"/>
            <w:vAlign w:val="center"/>
          </w:tcPr>
          <w:p>
            <w:pPr>
              <w:pStyle w:val="TableContents"/>
              <w:bidi w:val="0"/>
              <w:spacing w:before="0" w:after="283"/>
              <w:jc w:val="left"/>
              <w:rPr/>
            </w:pPr>
            <w:r>
              <w:rPr/>
              <w:t>F-35 Lightning II</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4.6</w:t>
            </w:r>
          </w:p>
        </w:tc>
        <w:tc>
          <w:tcPr>
            <w:tcW w:w="34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3.7</w:t>
            </w:r>
          </w:p>
        </w:tc>
        <w:tc>
          <w:tcPr>
            <w:tcW w:w="290"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F-18 Hornet</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1.5</w:t>
            </w:r>
          </w:p>
        </w:tc>
        <w:tc>
          <w:tcPr>
            <w:tcW w:w="349" w:type="dxa"/>
            <w:tcBorders/>
            <w:shd w:fill="FFFFFF" w:val="clear"/>
            <w:vAlign w:val="center"/>
          </w:tcPr>
          <w:p>
            <w:pPr>
              <w:pStyle w:val="TableContents"/>
              <w:bidi w:val="0"/>
              <w:spacing w:before="0" w:after="283"/>
              <w:jc w:val="lef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2.9</w:t>
            </w:r>
          </w:p>
        </w:tc>
        <w:tc>
          <w:tcPr>
            <w:tcW w:w="290" w:type="dxa"/>
            <w:tcBorders/>
            <w:shd w:fill="FFFFFF" w:val="clear"/>
            <w:vAlign w:val="center"/>
          </w:tcPr>
          <w:p>
            <w:pPr>
              <w:pStyle w:val="TableContents"/>
              <w:bidi w:val="0"/>
              <w:spacing w:before="0" w:after="283"/>
              <w:jc w:val="left"/>
              <w:rPr/>
            </w:pPr>
            <w:r>
              <w:rPr/>
              <w:t>%</w:t>
            </w:r>
          </w:p>
        </w:tc>
      </w:tr>
      <w:tr>
        <w:trPr/>
        <w:tc>
          <w:tcPr>
            <w:tcW w:w="3050" w:type="dxa"/>
            <w:tcBorders/>
            <w:shd w:fill="CCEEFF" w:val="clear"/>
            <w:vAlign w:val="center"/>
          </w:tcPr>
          <w:p>
            <w:pPr>
              <w:pStyle w:val="TableContents"/>
              <w:bidi w:val="0"/>
              <w:spacing w:before="0" w:after="283"/>
              <w:jc w:val="left"/>
              <w:rPr/>
            </w:pPr>
            <w:r>
              <w:rPr/>
              <w:t>All other platforms</w:t>
            </w:r>
          </w:p>
        </w:tc>
        <w:tc>
          <w:tcPr>
            <w:tcW w:w="9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12" w:space="0" w:color="000000"/>
            </w:tcBorders>
            <w:shd w:fill="CCEEFF" w:val="clear"/>
            <w:tcMar>
              <w:bottom w:w="28" w:type="dxa"/>
            </w:tcMar>
            <w:vAlign w:val="center"/>
          </w:tcPr>
          <w:p>
            <w:pPr>
              <w:pStyle w:val="TableContents"/>
              <w:bidi w:val="0"/>
              <w:spacing w:before="0" w:after="283"/>
              <w:jc w:val="right"/>
              <w:rPr/>
            </w:pPr>
            <w:r>
              <w:rPr/>
              <w:t>20.4</w:t>
            </w:r>
          </w:p>
        </w:tc>
        <w:tc>
          <w:tcPr>
            <w:tcW w:w="34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12" w:space="0" w:color="000000"/>
            </w:tcBorders>
            <w:shd w:fill="CCEEFF" w:val="clear"/>
            <w:tcMar>
              <w:bottom w:w="28" w:type="dxa"/>
            </w:tcMar>
            <w:vAlign w:val="center"/>
          </w:tcPr>
          <w:p>
            <w:pPr>
              <w:pStyle w:val="TableContents"/>
              <w:bidi w:val="0"/>
              <w:spacing w:before="0" w:after="283"/>
              <w:jc w:val="right"/>
              <w:rPr/>
            </w:pPr>
            <w:r>
              <w:rPr/>
              <w:t>20.9</w:t>
            </w:r>
          </w:p>
        </w:tc>
        <w:tc>
          <w:tcPr>
            <w:tcW w:w="290"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Total</w:t>
            </w:r>
          </w:p>
        </w:tc>
        <w:tc>
          <w:tcPr>
            <w:tcW w:w="9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349" w:type="dxa"/>
            <w:tcBorders/>
            <w:shd w:fill="FFFFFF" w:val="clear"/>
            <w:vAlign w:val="center"/>
          </w:tcPr>
          <w:p>
            <w:pPr>
              <w:pStyle w:val="TableContents"/>
              <w:bidi w:val="0"/>
              <w:spacing w:before="0" w:after="283"/>
              <w:jc w:val="lef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Period-to-period changes in customer mix and related platforms and programs are largely attributable to customer requirements, availability of parts, production capacity and timing.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Gross Profit: </w:t>
      </w:r>
      <w:r>
        <w:rPr>
          <w:rFonts w:ascii="Times New Roman;Times;Serif" w:hAnsi="Times New Roman;Times;Serif"/>
          <w:b w:val="false"/>
          <w:i w:val="false"/>
          <w:caps w:val="false"/>
          <w:smallCaps w:val="false"/>
          <w:sz w:val="20"/>
        </w:rPr>
        <w:t>Gross profit for the year ended December 31, 2025, amounted to $8,187,000, a decrease from the $8,932,000 achieved in 2024. Our gross profit percentage in fiscal 2025 increased to 17.1% from the 16.2% we achieved in 2024. This improvement can be attributed to changes in sales across our major platforms, shifts in product mix, and cost reductions implemented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Operating Expenses</w:t>
      </w:r>
      <w:r>
        <w:rPr>
          <w:rFonts w:ascii="Times New Roman;Times;Serif" w:hAnsi="Times New Roman;Times;Serif"/>
          <w:b w:val="false"/>
          <w:i w:val="false"/>
          <w:caps w:val="false"/>
          <w:smallCaps w:val="false"/>
          <w:sz w:val="20"/>
        </w:rPr>
        <w:t>: In fiscal 2025, operating expenses totaled $8,525,000, an increase of $52,000, from $8,473,000 recorded in 2024. As a percentage of consolidated net sales, operating expenses rose to 17.8%, compared to 15.4% in fiscal 2024. The dollar increase was due primarily to stock compensation expense and information technology expenses offset by lower personnel costs. We continue to look for ways to reduce our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Interest Expense: </w:t>
      </w:r>
      <w:r>
        <w:rPr>
          <w:rFonts w:ascii="Times New Roman;Times;Serif" w:hAnsi="Times New Roman;Times;Serif"/>
          <w:b w:val="false"/>
          <w:i w:val="false"/>
          <w:caps w:val="false"/>
          <w:smallCaps w:val="false"/>
          <w:sz w:val="20"/>
        </w:rPr>
        <w:t>Interest expense (which includes amortization of deferred financing costs) was $1,841,000 in fiscal 2025, a decrease of $52,000 or 2.8% from $1,893,000 in 2024. The decrease is primarily attributable to lower levels of subordinated debt during a portion of the year and a decrease in the average interest rate on debt outstanding pursuant to our Current Credit Facility which decreased to 6.72% in 2025 as compared to 7.66%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Loss:</w:t>
      </w:r>
      <w:r>
        <w:rPr>
          <w:rFonts w:ascii="Times New Roman;Times;Serif" w:hAnsi="Times New Roman;Times;Serif"/>
          <w:b w:val="false"/>
          <w:i w:val="false"/>
          <w:caps w:val="false"/>
          <w:smallCaps w:val="false"/>
          <w:sz w:val="20"/>
        </w:rPr>
        <w:t xml:space="preserve"> Net loss for the year ended December 31, 2025 was $1,305,000, compared to a net loss of $1,366,000 for the year ended December 31, 2024, for the reasons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LIQUIDITY AND CAPITAL RESOURCES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have debt service requirements related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77"/>
        <w:gridCol w:w="9923"/>
      </w:tblGrid>
      <w:tr>
        <w:trPr/>
        <w:tc>
          <w:tcPr>
            <w:tcW w:w="105" w:type="dxa"/>
            <w:tcBorders/>
            <w:vAlign w:val="center"/>
          </w:tcPr>
          <w:p>
            <w:pPr>
              <w:pStyle w:val="TableContents"/>
              <w:bidi w:val="0"/>
              <w:spacing w:before="0" w:after="283"/>
              <w:jc w:val="both"/>
              <w:rPr/>
            </w:pPr>
            <w:r>
              <w:rPr/>
              <w:t> </w:t>
            </w:r>
          </w:p>
        </w:tc>
        <w:tc>
          <w:tcPr>
            <w:tcW w:w="1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indebtedness under our Current Credit Facility of $23,473,000 (consisting of a Revolving Loan of $17,618,000 and a Term Loan in the amount of $5,855,000). This debt matures on September 30, 2026, and requires us to make monthly payments of approximately $87,000 in 2026.</w:t>
            </w:r>
          </w:p>
        </w:tc>
      </w:tr>
    </w:tbl>
    <w:p>
      <w:pPr>
        <w:pStyle w:val="TextBody"/>
        <w:bidi w:val="0"/>
        <w:spacing w:before="0" w:after="0"/>
        <w:ind w:left="0" w:right="0" w:hanging="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05"/>
        <w:gridCol w:w="215"/>
        <w:gridCol w:w="7295"/>
      </w:tblGrid>
      <w:tr>
        <w:trPr/>
        <w:tc>
          <w:tcPr>
            <w:tcW w:w="105" w:type="dxa"/>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Related Party Notes of approximately $4,871,000. This debt matures on October 1,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4"/>
        <w:gridCol w:w="9916"/>
      </w:tblGrid>
      <w:tr>
        <w:trPr/>
        <w:tc>
          <w:tcPr>
            <w:tcW w:w="105" w:type="dxa"/>
            <w:tcBorders/>
            <w:vAlign w:val="center"/>
          </w:tcPr>
          <w:p>
            <w:pPr>
              <w:pStyle w:val="TableContents"/>
              <w:bidi w:val="0"/>
              <w:spacing w:before="0" w:after="283"/>
              <w:jc w:val="both"/>
              <w:rPr/>
            </w:pPr>
            <w:r>
              <w:rPr/>
              <w:t> </w:t>
            </w:r>
          </w:p>
        </w:tc>
        <w:tc>
          <w:tcPr>
            <w:tcW w:w="1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Various equipment leases and contractual obligations related to our business, including advances under our Solar Facility for the installation of solar energy systems including the replacement of the existing roof at our Sterling Facility.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Credit Facility and Related Party Subordinated are classified as current liabilities on the consolidated balance sheet as of December 31, 2025. As a result of the due dates of this debt, there is substantial doubt about our ability to continue as a going concern for the twelve months following the date of filing of these consolidated financial statements. Webster Bank has advised us that it will not renew our Current Credit Facility. In addition to discussions with our lenders, as discussed in our Current Report on Form 8-K filed February 17, 2026, we entered into a Merger Agreement with Tenax.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current operations and strategic initiatives, beginning in December 2024 we raised capital through public market sales of our common stock and believe we can continue to access equity markets in future periods, though there is no assurance as to our ability to do so or as to the price and terms under which we could issue equity securities. During the year ended December 31, 2025, the Company sold 1,213,593 shares of common stock in the public market and generated gross proceeds of $4,869,000, of which approximately $3,930,000 is restricted for the benefit of the Current Credit Facility lender. Since initiating the sales in December 2024, we have sold a total of 1,330,444 shares for gross proceeds of $5,375,000. In light of ongoing negotiations with our lenders and in accordance with the Merger Agreement with Tenax, we have temporarily paused all equity raising activity while evaluating the most effective capital structure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Current Credit Facility, as amended, we are required to meet a prescribed Fixed Charge Coverage Ratio (as defined) that is determined at the end of each fiscal quarter. This ratio is a financial metric that we use to measure our ability to cover fixed charges such as interest and lease expenses as divided by EBITDA (as defined in the Current Credit Facility) which represents net income (loss) before interest, taxes, depreciation and amortization. We are also required to meet other business and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were in compliance with all financial and business covenants contained in the Current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Credit Facility expires on September 30, 2026. In addition, we are required to maintain a collection account with our lender into which substantially all cash receipts are remitted. If we were to default under the Current Credit Facility, our lender could choose to increase the rate of interest or refuse to make loans under the revolving portion of the Current Credit Facility and keep the funds remitted to the collection account. If the lender were to raise the rate of interest, it would adversely impact our operating results. If the lender were to cease making new loans under the revolving facility, we would lack the funds to continue operations. The Current Credit Facility expiration date and the rights granted to the lender, combined with the reasonable possibility that we might fail to meet covenants in the future, raise substantial doubt about our ability to continue as a going concern for the one year commencing as of the date of filing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discussion of recent amendments to the Current Credit Facility (all of which have been filed with the SEC):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May 31, 2024, we entered into a Seventh Amendment that waived the default caused by our failure to achieve the required Fixed Charge Coverage Ratio of the Sixth Amendment. This amendment further revised our Financial Covenants. For the six months ending June 30, 2025 our EBITDA shall not be less than $740,000; for the nine months ending September 30, 2025 our EBITDA shall not be less than $1,500,000; for the twelve months ending December 31, 2025 our EBITDA shall not be less than $2,800,000. For the rolling twelve-month period ending March 31, 2025, we are required to achieve a Fixed Charge Coverage Ratio of 1.05x. Beginning with the rolling twelve-month period ending June 30, 2025 and going forward the Company is required to achieve a Fixed Charge Coverage Ratio of 1.25x. All other covenants remain unchanged. Additionally, this amendment increased the Term Loan by approximately $1,000,000 to $5,700,000, with monthly principal installments in the amount of $68,000. In connection with these changes, the Company paid an amendment fee of $20,000.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2025, we entered into an Eighth Amendment to provide for an additional Term Loan in the amount of $1,640,000 for the acquisition of additional equipment. The monthly principal installments on this additional Term Loan are $19,524 This amendment further revised our Financial Covenants. For the rolling twelve-month period ending March 31, 2025 and June 30, 2035, we are required to achieve a Fixed Charge Coverage Ratio of 1.05x. Beginning with the rolling twelve-month period ending September 30, 2025 and going forward the Company is required to achieve a Fixed Charge Coverage Ratio of 1.25x. All other covenants remain unchanged. In connection with these changes, the Company paid an amendment fee of $20,000.</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2025, we entered into a Ninth Amendment where it agreed that the $3,930,000 of the proceeds from its ATM Offering would be maintained in an interest bearing account. The funds in this account serve as additional security for its obligations under the Current Credit Facility.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we entered into a Tenth Amendment which waived the defaults caused by the failure to achieve the required fixed charge coverage ratio for the fiscal quarter ended June 30, 2025, and for exceeding the permitted amount of capital expenditures for the fiscal year ending December 31, 2025. Additionally, the maturity date of the revolving credit and term loans were extended to March 31, 2026, and amended the capital expenditure covenant. We paid an amendment fee of $40,000.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2026, we entered into an Eleventh Amendment which extended the maturity date of the revolving credit and term loans to September 30, 2026. In connection with this Amendment, we paid an amendment fee of $25,000 and agreed to pay $150,000 when the loans are satisfied.</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close the merger with Tenax contemplated by the Merger Agreement or obtain a new lender to replace the Current Credit Facility we may not be able meet our financial obligations. As of December 31, 2025, we have borrowing capacity of approximately $2,382,000 under the Revolving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required Term Loan payments we may have to make additional payments under the Current Credit Facility. For so long as the Term Loan under the Current Credit Facility remains outstanding, if Excess Cash Flow (as defined) is a positive amount for any fiscal year, we are obligated to pay an amount equal to the lesser of (i) twenty-five percent (25%) of the Excess Cash Flow and (ii) the outstanding principal balance of the Term Loan. Such payment shall be applied to the outstanding principal balance of the Term loan, on or prior to the April 15 immediately following such fiscal year. For the fiscal year ended December 31, 2025, based on the calculation there is no Excess Cash Flow payment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outstanding indebtedness under the Current Credit Facility and Related Party Notes, we have various equipment leases and contractual obligations of an ongoing nature which we service in the ordinary course out of our cash flow from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are for debt service, capital expenditures and funding working capital. We have historically met these requirements with funds provided by a combination of cash generated from operating activities and cash generated from equity and debt financing transactions. Based on our current revenue visibility, strength of our backlog, and availability under our Current Credit Facility, we believe that we have sufficient liquidity to meet our day-to-day cash requirements for our operations. However, we must pay or refinance large portions of our indebtedness prior to September 30, 2026, and October 1, 2026. Further, as a condition to refinancing our Current Credit Facility prior to September 30, 2026, our lender or a new lender may require that the holders of our Related Party Notes extend or otherwise modify the subordination agreements they have given in favor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close the contemplated Merger, it is unlikely we will be able to pay existing debt and will need to refinance our Current Credit Facility and Related Party Notes. We have engaged in discussions with Webster Bank and the holders of our Related Party Notes to explore potential extensions or refinancings of our obligations. Webster Bank has advised us that it will not extend our Current Credit Facility. Refinancing our indebtedness with other parties may require us to pay higher interest rates than we currently pay, agree to more restrictive business or financial covenants or involve the issuance of debt, equity and/or new securities convertible into or exercisable or exchangeable for our common stock. Any failure to refinance our existing debt or obtain additional working capital when required would have a material adverse effect on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Cash Flow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net cash flow from operating, investing and financing activities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2630"/>
        <w:gridCol w:w="90"/>
        <w:gridCol w:w="170"/>
        <w:gridCol w:w="665"/>
        <w:gridCol w:w="125"/>
        <w:gridCol w:w="90"/>
        <w:gridCol w:w="170"/>
        <w:gridCol w:w="665"/>
        <w:gridCol w:w="170"/>
      </w:tblGrid>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5" w:type="dxa"/>
            <w:gridSpan w:val="6"/>
            <w:tcBorders/>
            <w:vAlign w:val="center"/>
          </w:tcPr>
          <w:p>
            <w:pPr>
              <w:pStyle w:val="TableContents"/>
              <w:bidi w:val="0"/>
              <w:spacing w:before="0" w:after="283"/>
              <w:jc w:val="center"/>
              <w:rPr>
                <w:b/>
              </w:rPr>
            </w:pPr>
            <w:r>
              <w:rPr>
                <w:b/>
              </w:rPr>
              <w:t>Year Ended</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Cash provided by (used in)</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(1,352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324</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Investing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(3,122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(2,285</w:t>
            </w:r>
          </w:p>
        </w:tc>
        <w:tc>
          <w:tcPr>
            <w:tcW w:w="170" w:type="dxa"/>
            <w:tcBorders/>
            <w:shd w:fill="FFFFFF" w:val="clear"/>
            <w:vAlign w:val="center"/>
          </w:tcPr>
          <w:p>
            <w:pPr>
              <w:pStyle w:val="TableContents"/>
              <w:bidi w:val="0"/>
              <w:spacing w:before="0" w:after="283"/>
              <w:jc w:val="left"/>
              <w:rPr/>
            </w:pPr>
            <w:r>
              <w:rPr/>
              <w:t>)</w:t>
            </w:r>
          </w:p>
        </w:tc>
      </w:tr>
      <w:tr>
        <w:trPr/>
        <w:tc>
          <w:tcPr>
            <w:tcW w:w="2630" w:type="dxa"/>
            <w:tcBorders/>
            <w:shd w:fill="CCEEFF" w:val="clear"/>
            <w:vAlign w:val="center"/>
          </w:tcPr>
          <w:p>
            <w:pPr>
              <w:pStyle w:val="TableContents"/>
              <w:bidi w:val="0"/>
              <w:spacing w:before="0" w:after="283"/>
              <w:jc w:val="left"/>
              <w:rPr/>
            </w:pPr>
            <w:r>
              <w:rPr/>
              <w:t>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8,331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2,368</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Net increase in cash</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pPr>
            <w:r>
              <w:rPr/>
              <w:t>3,857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pPr>
            <w:r>
              <w:rPr/>
              <w:t>407</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(Used in) Provided By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our operations absorbed $1,352,000 of cash as compared to generating $324,000 of cash in fiscal 2024. The use of cash was due to an increase in inventory of $5,450,000, reflecting material and production costs incurred for product to be delivered in 2026. This was partially offset by non-cash expenses of depreciation and stock-based compensation in the amounts of $2,499,000 and $1,047,000, respectively, and by a reduction in accounts receivable of $1,761,000.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we generated cash flows from operations of $324,000 as compared to $4,862,000 for fiscal 2023. The decrease in cash flows was primarily due to the use of a portion, $2,442,000, of customer deposits which had been advanced prior to 2024 for the procurement of long lead time raw materials expected to be utilized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we continued to make significant investments to enhance our competitiveness and market position. Cash used in investing activities of $3,122,000 and $2,285,000, in 2025 and 2024, respectively, was for new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investments in 2025 and 2024 increased production efficiency and speed, while maintaining closer tolerances. They also expanded the size of products we can manufacture. Any investment in 2026 will be at a much lower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Provided by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cash provided by financing activities was $8,331,000. During fiscal 2025, we increased borrowings under our Current Credit Facility by $5,343,000 (consisting of a net increase in Revolving Loan borrowings of $4,713,000 and a net increase of $630,000 against the Term Loan). We also sold an aggregate of 1,213,593 shares of common stock to the public for net proceeds of $4,638,000. We used cash by paying $1,291,000 of the Related Party Notes. We also made payments of $223,000 pursuant to financing lease obligations and $8,000 on a loan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cash provided by financing activities was $2,368,000. During fiscal 2024, we increased borrowings under our Current Credit Facility by $2,238,000 (consisting of a net increase in Revolving Loan borrowings of $2,101,000 and a net increase of $137,000 against the Term Loan) and received advances of $8,000 against the Solar Facility. We also sold an aggregate of 116,851 shares of common stock to the public for net proceeds of $327,000. Additionally, we made payments of $196,000 pursuant to financing lease obligations and $9,000 on a loan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off-balance sheet arrangements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accounting estimate is one that is both important to the portrayal of a company’s financial condition and results of operations and requires management’s most difficult, subjective or complex judgements, often as a result of the need to make estimates about the effect of matters that are inherently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Estimates. The preparation of financial statements in accordance with generally accepted accounting principles in the U.S. requires us to make estimates and assumptions that affect the reported amounts of assets and liabilities and disclosures of contingent assets and liabilities at the date of the financial statements and the reported amounts of revenues and expenses during the reporting period. The financial statements in this Report include estimates based on currently available information and our judgment as to the outcome of future conditions and circumstances. Significant estimates in these financial statements include, inventory valuation and income tax provision. Changes in the status of certain facts or circumstances could result in material changes to the estimates used in the preparation of the financial statements and actual results could differ from the estimates and assumptions.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our critical accounting estimates: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Inventory Valuation, which includes the estimates and methodology used in accounting for the transition of production costs to inventory costs. In our consolidated financial statements, inventory is reflected at the lower of cost or net realizable value. We periodically evaluate inventory items not secured by backlog and establishes write-downs to estimated net realizable value for excess quantities, slow-moving goods (defined as goods which do not have an open order and have not had movement for two years), obsolescence and for other impairments of value.</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Income Taxes. We account for income taxes under the asset and liability method, based on the income tax laws in the United States. This approach requires the recognition of deferred tax assets and liabilities for the expected future tax consequences of temporary differences between the carrying amounts and the tax basis of assets and liabilities using expected rates in effect for the tax year in which the differences are expected to reverse. Developing the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The Company has recorded a valuation allowance in the current and prior years to reduce deferred tax assets to zero. If we were to subsequently determine that we would be able to realize deferred tax assets in the future in excess of its net recorded amount, an adjustment to deferred tax assets would increase net income for the period in which such determination was made. We will continue to assess the adequacy of the valuation allowance on a quarterly basis. Our judgments and tax strategies are subject to audit by various taxing authorities.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4" w:name="a_012"/>
      <w:bookmarkEnd w:id="14"/>
      <w:r>
        <w:rPr>
          <w:rFonts w:ascii="Times New Roman;Times;Serif" w:hAnsi="Times New Roman;Times;Serif"/>
          <w:b/>
          <w:i w:val="false"/>
          <w:caps w:val="false"/>
          <w:smallCaps w:val="false"/>
          <w:sz w:val="20"/>
        </w:rPr>
        <w:t>ITEM 7A. QUANTITATIVE AND QUALITATIVE DISCLOSURE ABOUT MARKET RISK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disclosure is required in response to this Item.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required by this item begin on page F-1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evaluation was conducted under the supervision and with the participation of our management, including the Chief Executive Officer (“CEO”), our principal executive officer, and Chief Financial Officer (“CFO”), our principal financial officer (“PFO”), of the effectiveness of the design and operation of our disclosure controls and procedures, as defined in Rule 13a-15(e) and Rule 15d-15(e) of the Exchange Act, as of December 31, 2025. Based on that evaluation, the CEO and CFO concluded for the reasons discussed below that our disclosure controls and procedures were not effective as of December 31, 2025 to ensure that the information required to be disclosed by us in the reports that we file or submit under the Exchange Act, is recorded, processed, summarized and reported within the required time periods, and that such information is accumulated and communicated to our management to allow timely decisions when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of the Sarbanes-Oxley Act of 2002 requires that management document and test the Company’s internal control over financial reporting and include in this Form 10-K a report on management’s assessment of the effectiveness of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establishing and maintaining adequate internal control over financial reporting. Internal control over financial reporting refers to those policies, procedures and processes that pertain to the maintenance of records that accurately and fairly reflect transactions with respect to our assets; provide reasonable assurance that transactions are recorded as necessary to permit preparation of financial statements in accordance with generally accepted accounting principles and that receipts and expenditures are made only in accordance with authorizations of our management; and provide reasonable assurance regarding the prevention and timely detection of unauthorized transactions with respect to our assets that could have a material effect on our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our internal control over financial reporting as of December 31, 2025. In making this assessment, management used criteria set forth by the Committee of Sponsoring Organizations of the Treadway Commission in Internal Control – Integrated Framework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their review of our internal control over financial reporting as of December 31, 2025, our Chief Executive Officer and Chief Financial Officer have concluded that our internal controls over financial reporting were not effective as of December 31, 2025 as a result of a material weakness identified in 2022 that were not yet remediated.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outsourced certain information technology (“IT”) related functions to a third-party vendor. In 2022, we identified a material weakness with respect to our IT systems in that we did not design and/or implement primary user access controls and program change management systems over key IT systems to validate that data produced by the relevant IT systems were complete and accurate and to ensure appropriate segregation of duties to adequately restrict user and privileged access to the financially relevant systems and data to the our personnel. Further, we identified a material weakness with respect to the activities of our vendor in connection with the design and operation of our IT systems in that because this vendor is unable to provide a SOC 1 (Standard Operating Control) Report, we were unable to verify and validate the effectiveness of the vendor’s control procedures when implementing changes to our IT systems, including systems affecting our financial IT applications and underlying data account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and continuing in fiscal 2025, we implemented new IT controls that required our third-party vendor to make only changes to our IT systems with specific authorization and a requirement that such change be monitored, in real-time by an employee of our company that is familiar with the changes that are being made by our third-party vendor. Although we implemented a process to monitor users being granted privileged access and that such access is being monitored by a periodic user review process, additional enhancements and more formalized documentation is still required. As such, we consider this material weakness not to be remediated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our registered public accounting firm regarding internal control over financial reporting. The rules of the Securities and Exchange Commission do not require an attestation of the Management’s report by our registered public accounting firm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2025, we implemented and enhanced our internal control over financial reporting to include additional processes to monitor users being granted privileged access and enhanced our periodic user reviews to ensure such privileged access continues to be appropriate. Except for these items, there have not been any changes in our internal control over financial reporting, as such term is defined in Rules 13a-15(f) and 15d-15(f) under the Exchange Act, during our most recently completed fiscal quarter ended December 31, 2025, which is the subject of this report,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ITEM 9C. DISCLOSURE REGARDING FOREIGN JURISDICTIONS THAT PREVENT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27"/>
      <w:bookmarkEnd w:id="20"/>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18"/>
      <w:bookmarkEnd w:id="21"/>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and executive officers are:</w:t>
      </w:r>
    </w:p>
    <w:p>
      <w:pPr>
        <w:pStyle w:val="TextBody"/>
        <w:bidi w:val="0"/>
        <w:spacing w:before="0" w:after="0"/>
        <w:jc w:val="left"/>
        <w:rPr>
          <w:caps w:val="false"/>
          <w:smallCaps w:val="false"/>
        </w:rPr>
      </w:pPr>
      <w:r>
        <w:rPr>
          <w:caps w:val="false"/>
          <w:smallCaps w:val="false"/>
        </w:rPr>
        <w:t> </w:t>
      </w:r>
    </w:p>
    <w:tbl>
      <w:tblPr>
        <w:tblW w:w="8055" w:type="dxa"/>
        <w:jc w:val="left"/>
        <w:tblInd w:w="0" w:type="dxa"/>
        <w:tblLayout w:type="fixed"/>
        <w:tblCellMar>
          <w:top w:w="0" w:type="dxa"/>
          <w:left w:w="0" w:type="dxa"/>
          <w:bottom w:w="28" w:type="dxa"/>
          <w:right w:w="0" w:type="dxa"/>
        </w:tblCellMar>
      </w:tblPr>
      <w:tblGrid>
        <w:gridCol w:w="1775"/>
        <w:gridCol w:w="90"/>
        <w:gridCol w:w="380"/>
        <w:gridCol w:w="90"/>
        <w:gridCol w:w="90"/>
        <w:gridCol w:w="5630"/>
      </w:tblGrid>
      <w:tr>
        <w:trPr/>
        <w:tc>
          <w:tcPr>
            <w:tcW w:w="177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Glassman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Acting Chief Executive Officer and President (effective 03-18-2026)</w:t>
            </w:r>
          </w:p>
        </w:tc>
      </w:tr>
      <w:tr>
        <w:trPr/>
        <w:tc>
          <w:tcPr>
            <w:tcW w:w="1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Drisgula</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6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of Finance (effective 03-18-2026)</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N. Taglich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F. Taglich</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6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J. Buonanno</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D. Rettaliata</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6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Chairman of the Board </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Brand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D. Porcelain</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6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Glassman was appointed to the positions of Acting Chief Executive Officer and President of the Company on March 18, 2026. Mr. Glassman has been employed by the Company since March of 2019, most recently serving as the Chief Financial Officer, Principal Accounting Officer and Secretary of our Company since October 16, 2024. Prior to that he served as Chief Accounting Officer. Mr. Glassman previously had been employed by the Company from February of 2007 to February of 2015, serving in various senior positions in the Company’s Financial Department. From March of 2015 to November of 2018, Mr. Glassman worked at a privately held distributor of commercial equipment where he served as Controller. Mr. Glassman holds a Bachelor of Science degree in Accounting from the State University of New York at Albany. Mr. Glassman has been a CPA licensed by the state of NY since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Brian Drisgula</w:t>
      </w:r>
      <w:r>
        <w:rPr>
          <w:rFonts w:ascii="Times New Roman;Times;Serif" w:hAnsi="Times New Roman;Times;Serif"/>
          <w:b w:val="false"/>
          <w:i w:val="false"/>
          <w:caps w:val="false"/>
          <w:smallCaps w:val="false"/>
          <w:sz w:val="20"/>
        </w:rPr>
        <w:t xml:space="preserve"> was appointed to the position of Vice President of Finance, Principal Accounting Officer and Secretary of our Company on March 18, 2026. Mr. Drisgula has been employed by the Company since October 14, 2024, most recently as the Director of Finance. From April 2023 to October 2024, Mr. Drisgula served as Senior Finance Manager at Circor International, Inc, a large aerospace and defense contractor listed on the New York Stock Exchange. Prior to joining Circor, from May of 2015 through February of 2023, he was Plant Controller for Akorn, Inc., a publicly held generic pharmaceutical manufacturer. Mr. Drisgula holds a Bachelor of Science degree in Accounting from the State University of New York at Binghamton and has been licensed as a CPA by the State of New York since 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Peter D. Rettaliata</w:t>
      </w:r>
      <w:r>
        <w:rPr>
          <w:rFonts w:ascii="Times New Roman;Times;Serif" w:hAnsi="Times New Roman;Times;Serif"/>
          <w:b w:val="false"/>
          <w:i w:val="false"/>
          <w:caps w:val="false"/>
          <w:smallCaps w:val="false"/>
          <w:sz w:val="20"/>
        </w:rPr>
        <w:t xml:space="preserve"> has been a director of our Company since 2005 and was appointed Chairman of the Board on July 11, 2024. He served as our Acting President and Chief Executive Officer from March 2, 2017 to November 15, 2017 and served as our President and Chief Executive Officer from November 30, 2005 to December 31, 2014. He also served as the President of our wholly-owned subsidiary, AIM, from 1994 to 2008. Prior to his involvement at AIM, Mr. Rettaliata was employed by Grumman Aerospace Corporation for twenty-two years, as the Senior Procurement Officer. Professionally, Mr. Rettaliata has served as the Chairman of “ADDAPT”, an organization of regional aerospace companies, as a member of the Board of Governors of the Aerospace Industries Association, and as a member of the Executive Committee of the AIA Supplier Council. He is a graduate of Niagara University where he received a B.A. in History and Harvard Business School where he completed the PMD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Michael N. Taglich served as </w:t>
      </w:r>
      <w:r>
        <w:rPr>
          <w:rFonts w:ascii="Times New Roman;Times;Serif" w:hAnsi="Times New Roman;Times;Serif"/>
          <w:b w:val="false"/>
          <w:i w:val="false"/>
          <w:caps w:val="false"/>
          <w:smallCaps w:val="false"/>
          <w:sz w:val="20"/>
        </w:rPr>
        <w:t>Chairman of our Board of Directors from September 22, 2008 until July 11, 2024. He is Chairman and President of Taglich Brothers, a New York City based securities firm which he co-founded in 1992. Mr. Taglich is currently Chairman of the Board of Mare Island Dry Dock LLC, a company engaged in ship repair services, He also serves as a Chairman of the Board of Intellinetics Inc., and is on the board of a number of private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Robert F. Taglich</w:t>
      </w:r>
      <w:r>
        <w:rPr>
          <w:rFonts w:ascii="Times New Roman;Times;Serif" w:hAnsi="Times New Roman;Times;Serif"/>
          <w:b w:val="false"/>
          <w:i w:val="false"/>
          <w:caps w:val="false"/>
          <w:smallCaps w:val="false"/>
          <w:sz w:val="20"/>
        </w:rPr>
        <w:t xml:space="preserve"> has been a director of our Company since 2008. He is a Managing Director of Taglich Brothers, which he co-founded in 1992. Prior to founding Taglich Brothers, Mr. Taglich was a Vice President at Weatherly Securities. Mr. Taglich has served in various positions in the securities brokerage industry for the past 25 years Mr. Taglich holds a Bachelor’s degree from New York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David J. Buonanno</w:t>
      </w:r>
      <w:r>
        <w:rPr>
          <w:rFonts w:ascii="Times New Roman;Times;Serif" w:hAnsi="Times New Roman;Times;Serif"/>
          <w:b w:val="false"/>
          <w:i w:val="false"/>
          <w:caps w:val="false"/>
          <w:smallCaps w:val="false"/>
          <w:sz w:val="20"/>
        </w:rPr>
        <w:t xml:space="preserve"> has been a director of our Company since 2008. He is the Founder and President of Buonanno Enterprises Consulting, providing strategic management, supply chain/operations and recruitment services to aerospace and defense industry clients. Mr. Buonanno has extensive experience in manufacturing, supply management and operations. He was employed by Sikorsky Aircraft, Inc., a subsidiary of United Technologies Corporation, as Vice President, Supply Management and International Offset (from January 1997 to July 2006) and as Director, Systems Subcontracts (from November 1992 to January 1997). From May 1987 to November 1992, he was employed by General Electric Company serving as Operations Manager and Manager, Program Materials Management of GE’s Astro-Space Division. From June 1977 to May 1987, he was employed by RCA and affiliated companies. Mr. Buonanno attended Lehigh University College of Electrical Engineering and holds a B.S. in Business Administration from Rutgers University. He completed the Program for Management Development at Harvard Business School in 1996.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Michael Brand</w:t>
      </w:r>
      <w:r>
        <w:rPr>
          <w:rFonts w:ascii="Times New Roman;Times;Serif" w:hAnsi="Times New Roman;Times;Serif"/>
          <w:b w:val="false"/>
          <w:i w:val="false"/>
          <w:caps w:val="false"/>
          <w:smallCaps w:val="false"/>
          <w:sz w:val="20"/>
        </w:rPr>
        <w:t xml:space="preserve"> has been a director of our Company since 2012.  He enjoyed a successful 32-year career in aerospace manufacturing primarily focused on jet engines and landing gear. In 2005, he joined Goodrich as President of Goodrich Landing Gear. Prior to joining Goodrich, he had senior management roles at GE Aircraft Engines and Teleflex Aerospace.  Mr. Brand has a BS from Clarkson University, with advanced degrees and certificates from Xavier University and the Wharton School.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Michael Porcelain </w:t>
      </w:r>
      <w:r>
        <w:rPr>
          <w:rFonts w:ascii="Times New Roman;Times;Serif" w:hAnsi="Times New Roman;Times;Serif"/>
          <w:b w:val="false"/>
          <w:i w:val="false"/>
          <w:caps w:val="false"/>
          <w:smallCaps w:val="false"/>
          <w:sz w:val="20"/>
        </w:rPr>
        <w:t>has been a director of our Company since October 23, 2017. Mr. Porcelain has been a CPA since 1996 and currently acts as a consultant and board member for The Independent Adviser Corporation. This privately held company operates various financial planning and advisory websites including TheAdviser.com, 1800ADVISER.com and IRSADVISER.com. In addition to managing these platforms, the company itself provides consulting services. Mr. Porcelain is also a private investor in a number of small and emerging companies. From 2006 through 2022, Mr. Porcelain served in several executive positions including service as a member of the Board of Directors of Comtech Telecommunications Corp. (“Comtech”), a publicly traded company and a leading global provider of next-generation 911 emergency systems and secure wireless communications technologies. He was appointed Chief Executive Officer of Comtech in January 2022 and President of Comtech in January 2020. He also served as Comtech’s Chief Operating Officer from October 2018 to January 2022. Prior to holding these positions, he served as Comtech’s Chief Financial Officer from 2006 through 2018, and from 2002 to March 2006, he served as Comtech’s Vice President of Finance and Internal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1998 to 2002, Mr. Porcelain was Director of Corporate Profit and Business Planning for Symbol Technologies, a mobile wireless information solutions company. Previously, he spent five years in public accounting holding various positions, including Manager in the Transaction Advisory Services Group of PricewaterhouseCoopers. In March 2021, Mr. Porcelain was elected to the Board of Directors of The Fund for Modern Court, an independent court reform organization that advocates for the improvements of the New York State Court system to ensure a diverse, highly qualified, and independent judiciary. Since 1998, he has owned and operated The Independent Adviser Corporation, a privately held company which holds the rights to use certain intellectual properties and trademarks (including various Internet websites) related to the financial planning and advisory industry.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Porcelain has served as an Adjunct Professor at both Adelphi University and St. John’s University located in New York where he taught graduate level accounting courses. Mr. Porcelain has a B.S. in Business Economics from State University of Oneonta, New York, a M.S. in Accounting and an M.B.A. degree from Binghamton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N. Taglich and Robert F. Taglich are brothers.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hold office until the next annual meeting of shareholders and until their successors have been duly elected and qualified. Officers are elected by and serve at the discretion of the Board of Directors. Employee directors do not receive any compensation for their services as directors. Non-employee directors are entitled to receive compensation for serving as directors and may receive option or stock grants from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Leadership Structure and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have a policy requiring separation of the roles of Chief Executive Officer and Chairman of the Board. The Board has determined that a non-employee director serving as Chairman is in the best interests of our stockholders at this time. This structure ensures a greater role of non-employee Directors in the active oversight of our business, including risk management oversight, and in setting agendas and establishing Board priorities and procedures. This structure also allows the Chief Executive Officer to focus to a greater extent on the management of our day-to-day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as a whole is responsible for consideration and oversight of the risks we face and is responsible for ensuring that material risks are identified and managed appropriately. Certain risks are overseen by committees of the Board of Directors and these committees make reports to the full Board of Directors, including reports on noteworthy risk-management issues. Members of the Company’s senior management team regularly report to the full Board about their areas of responsibility and a component of these reports is the risks within their areas of responsibility and the steps management has taken to monitor and control such exposures. Additional review or reporting on risks is conducted as needed or as requested by the Board or one of its committees.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David Buonanno, Peter Rettaliata, Michael Brand and Michael Porcelain are “independent directors” within the meaning of NYSE American Rule 803A(2).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Non-employee Directors are entitled to receive compensation for serving as directors and may receive option grants from our company. Each Director also is entitled to be repaid or prepaid all traveling, hotel and incidental expenses reasonably incurred or expected to be incurred in attending meetings of our Board of Directors or committees of our Board of Directors or stockholder meetings or otherwise in connection with the discharge of his duties as a Director. The compensation committee will assist the directors in reviewing and approving the compensation structure for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compensation paid to, earned by or accrued for, our directors during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tbl>
      <w:tblPr>
        <w:tblW w:w="11410" w:type="dxa"/>
        <w:jc w:val="left"/>
        <w:tblInd w:w="0" w:type="dxa"/>
        <w:tblLayout w:type="fixed"/>
        <w:tblCellMar>
          <w:top w:w="0" w:type="dxa"/>
          <w:left w:w="0" w:type="dxa"/>
          <w:bottom w:w="28" w:type="dxa"/>
          <w:right w:w="0" w:type="dxa"/>
        </w:tblCellMar>
      </w:tblPr>
      <w:tblGrid>
        <w:gridCol w:w="1055"/>
        <w:gridCol w:w="90"/>
        <w:gridCol w:w="96"/>
        <w:gridCol w:w="764"/>
        <w:gridCol w:w="90"/>
        <w:gridCol w:w="90"/>
        <w:gridCol w:w="135"/>
        <w:gridCol w:w="1070"/>
        <w:gridCol w:w="90"/>
        <w:gridCol w:w="90"/>
        <w:gridCol w:w="182"/>
        <w:gridCol w:w="1443"/>
        <w:gridCol w:w="90"/>
        <w:gridCol w:w="90"/>
        <w:gridCol w:w="360"/>
        <w:gridCol w:w="1160"/>
        <w:gridCol w:w="90"/>
        <w:gridCol w:w="90"/>
        <w:gridCol w:w="360"/>
        <w:gridCol w:w="1160"/>
        <w:gridCol w:w="90"/>
        <w:gridCol w:w="90"/>
        <w:gridCol w:w="360"/>
        <w:gridCol w:w="1160"/>
        <w:gridCol w:w="90"/>
        <w:gridCol w:w="90"/>
        <w:gridCol w:w="90"/>
        <w:gridCol w:w="710"/>
        <w:gridCol w:w="135"/>
      </w:tblGrid>
      <w:tr>
        <w:trPr/>
        <w:tc>
          <w:tcPr>
            <w:tcW w:w="1055"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 xml:space="preserve">Fees </w:t>
              <w:br/>
              <w:t>Earned or</w:t>
              <w:br/>
              <w:t>Paid In Cash</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w:t>
              <w:br/>
              <w:t>($)</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25" w:type="dxa"/>
            <w:gridSpan w:val="2"/>
            <w:tcBorders>
              <w:bottom w:val="single" w:sz="12" w:space="0" w:color="000000"/>
            </w:tcBorders>
            <w:vAlign w:val="center"/>
          </w:tcPr>
          <w:p>
            <w:pPr>
              <w:pStyle w:val="TableContents"/>
              <w:bidi w:val="0"/>
              <w:spacing w:before="0" w:after="283"/>
              <w:jc w:val="center"/>
              <w:rPr>
                <w:b/>
              </w:rPr>
            </w:pPr>
            <w:r>
              <w:rPr>
                <w:b/>
              </w:rPr>
              <w:t>Option Awards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Non-Equity</w:t>
              <w:br/>
              <w:t>Incentive</w:t>
              <w:br/>
              <w:t>Plan</w:t>
              <w:br/>
              <w:t>Compensation</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Non-Qualified</w:t>
              <w:br/>
              <w:t>Deferred</w:t>
              <w:br/>
              <w:t>Compensation</w:t>
              <w:br/>
              <w:t>Earnings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All Other</w:t>
              <w:br/>
              <w:t>Compensation</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Michael Taglich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34,353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right"/>
              <w:rPr/>
            </w:pPr>
            <w:r>
              <w:rPr/>
              <w:t>12,596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14,600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61,549</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Robert Taglich</w:t>
            </w:r>
          </w:p>
        </w:tc>
        <w:tc>
          <w:tcPr>
            <w:tcW w:w="9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34,353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right"/>
              <w:rPr/>
            </w:pPr>
            <w:r>
              <w:rPr/>
              <w:t>12,596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14,600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61,549</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David Buonanno</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37,500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14,600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52,100</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Michael Brand</w:t>
            </w:r>
          </w:p>
        </w:tc>
        <w:tc>
          <w:tcPr>
            <w:tcW w:w="9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37,500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14,600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52,100</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055" w:type="dxa"/>
            <w:tcBorders/>
            <w:shd w:fill="CCEEFF" w:val="clear"/>
            <w:tcMar>
              <w:bottom w:w="0" w:type="dxa"/>
            </w:tcMar>
            <w:vAlign w:val="center"/>
          </w:tcPr>
          <w:p>
            <w:pPr>
              <w:pStyle w:val="TableContents"/>
              <w:bidi w:val="0"/>
              <w:spacing w:before="0" w:after="283"/>
              <w:jc w:val="left"/>
              <w:rPr/>
            </w:pPr>
            <w:r>
              <w:rPr/>
              <w:t>Michael Porcelain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6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right"/>
              <w:rPr/>
            </w:pPr>
            <w:r>
              <w:rPr/>
              <w:t>57,223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1443" w:type="dxa"/>
            <w:tcBorders/>
            <w:shd w:fill="CCEEFF" w:val="clear"/>
            <w:tcMar>
              <w:bottom w:w="0" w:type="dxa"/>
            </w:tcMar>
            <w:vAlign w:val="center"/>
          </w:tcPr>
          <w:p>
            <w:pPr>
              <w:pStyle w:val="TableContents"/>
              <w:bidi w:val="0"/>
              <w:spacing w:before="0" w:after="283"/>
              <w:jc w:val="right"/>
              <w:rPr/>
            </w:pPr>
            <w:r>
              <w:rPr/>
              <w:t>14,600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71,823</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055" w:type="dxa"/>
            <w:tcBorders/>
            <w:shd w:fill="FFFFFF" w:val="clear"/>
            <w:tcMar>
              <w:bottom w:w="0" w:type="dxa"/>
            </w:tcMar>
            <w:vAlign w:val="center"/>
          </w:tcPr>
          <w:p>
            <w:pPr>
              <w:pStyle w:val="TableContents"/>
              <w:bidi w:val="0"/>
              <w:spacing w:before="0" w:after="283"/>
              <w:jc w:val="left"/>
              <w:rPr/>
            </w:pPr>
            <w:r>
              <w:rPr/>
              <w:t>Peter Rettaliata</w:t>
            </w:r>
          </w:p>
        </w:tc>
        <w:tc>
          <w:tcPr>
            <w:tcW w:w="9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64" w:type="dxa"/>
            <w:tcBorders/>
            <w:shd w:fill="FFFFFF" w:val="clear"/>
            <w:tcMar>
              <w:bottom w:w="0" w:type="dxa"/>
            </w:tcMar>
            <w:vAlign w:val="center"/>
          </w:tcPr>
          <w:p>
            <w:pPr>
              <w:pStyle w:val="TableContents"/>
              <w:bidi w:val="0"/>
              <w:spacing w:before="0" w:after="283"/>
              <w:jc w:val="right"/>
              <w:rPr/>
            </w:pPr>
            <w:r>
              <w:rPr/>
              <w:t>63,252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443" w:type="dxa"/>
            <w:tcBorders/>
            <w:shd w:fill="FFFFFF" w:val="clear"/>
            <w:tcMar>
              <w:bottom w:w="0" w:type="dxa"/>
            </w:tcMar>
            <w:vAlign w:val="center"/>
          </w:tcPr>
          <w:p>
            <w:pPr>
              <w:pStyle w:val="TableContents"/>
              <w:bidi w:val="0"/>
              <w:spacing w:before="0" w:after="283"/>
              <w:jc w:val="right"/>
              <w:rPr/>
            </w:pPr>
            <w:r>
              <w:rPr/>
              <w:t>14,600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right"/>
              <w:rPr/>
            </w:pPr>
            <w:r>
              <w:rPr/>
              <w:t>77,852</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90"/>
        <w:gridCol w:w="23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 fees paid in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Meetings; Committees and Membership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held eleven meetings during the fiscal year ended December 31, 2025 and each of the directors attended more than 75% of the aggregate of (i) the number of meetings of the Board of Directors and (ii) the number of meetings of all committees of the Board on which such director 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following committees of the Board of Directors: the Audit Committee, the Compensation Committee, the Nominating Committee and the Executive Committee. Each committee other than the Executive Committee is comprised entirely of directors who are “independent” within the meaning of NYSE American Rule 803A(2). Each committee acts pursuant to a separate written charter, and each such charter has been adopted and approved by the Board of Directors. Copies of the committee charters are available on our website at airindustriesgroup.com under the heading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Messrs. Porcelain, Brand and Buonanno are members of the Audit Committee. Mr. Porcelain serves as Chairman of the Audit Committee and also qualifies as an “audit committee financial expert,” as that term is defined in Item 407(d)(5)(ii) of Regulation S-K. The Board has determined that each member of our Audit Committee meets the financial literacy requirements under the Sarbanes-Oxley Act and SEC rules and the independence requirements under NYSE American Rule 803A(2).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preparing reports, statements and charters of audit committees required by the federal securities laws, as well as: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and monitoring the integrity of our consolidated financial statements, our compliance with legal and regulatory requirements as they relate to financial statements or accounting matters, and our internal accounting and financial controls;</w:t>
            </w:r>
          </w:p>
        </w:tc>
      </w:tr>
    </w:tbl>
    <w:p>
      <w:pPr>
        <w:pStyle w:val="TextBody"/>
        <w:bidi w:val="0"/>
        <w:spacing w:before="0" w:after="0"/>
        <w:ind w:left="0" w:right="0" w:firstLine="720"/>
        <w:jc w:val="left"/>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68"/>
        <w:gridCol w:w="200"/>
        <w:gridCol w:w="70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preparing the report that SEC rules require be included in our annual proxy statement;</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and monitoring our independent registered public accounting firm’s qualifications, independence and performance;</w:t>
            </w:r>
          </w:p>
        </w:tc>
      </w:tr>
    </w:tbl>
    <w:p>
      <w:pPr>
        <w:pStyle w:val="TextBody"/>
        <w:bidi w:val="0"/>
        <w:spacing w:before="0" w:after="0"/>
        <w:ind w:left="0" w:right="0" w:firstLine="1440"/>
        <w:jc w:val="left"/>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68"/>
        <w:gridCol w:w="200"/>
        <w:gridCol w:w="69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providing the Board with the results of its monitoring and its recommendations; and</w:t>
            </w:r>
          </w:p>
        </w:tc>
      </w:tr>
    </w:tbl>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providing to the Board additional information and materials as it deems necessary to make the Board aware of significant financial matters that require the attention of the Board.</w:t>
            </w:r>
          </w:p>
        </w:tc>
      </w:tr>
    </w:tbl>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held five meetings during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Our Compensation Committee is composed of Messrs. Rettaliata, Brand and Buonanno.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our company’s general compensation policy, in consultation with senior management, and overseeing the development and implementation of compensation programs;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corporate goals and objectives relevant to the compensation of the CEO, and evaluating the performance of the CEO at least annually in light of those goals and objectives and communicating the results of such evaluation to the CEO and the Board, and determining the CEO’s compensation level based on this evaluation, subject to ratification by the independent directors on the Board. In determining the incentive component of CEO compensation, the Committee will consider, among other factors, the performance of our company and relative stockholder return, the value of similar incentive awards to CEOs at comparable companies, the awards given to the CEO in past years, and such other factors as the Committee may determine to be appropriate;</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compensation of all other executive officers of our company, such other managers as may be directed by the Board, and the directors of our company;</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Board’s benefit and equity compensation plans, overseeing the activities of the individuals and committees responsible for administering these plans, and discharging any responsibilities imposed on the Committee by any of these plans;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issuances under, or any material amendments to, any stock option or other similar plan pursuant to which a person not previously an employee or director of our company, as an inducement material to the individual’s entering into employment with our company, will acquire stock or options;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consultation with management, overseeing regulatory compliance with respect to compensation matters, including overseeing the company’s policies on structuring compensation programs to preserve related tax objectives;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any severance or similar termination payments proposed to be made to any current or former officer of our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preparing an annual report on executive compensation for inclusion in our proxy statement for the election of directors, if required under the applicable SEC rules.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held four meetings during fiscal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Nominating Committee</w:t>
      </w:r>
      <w:r>
        <w:rPr>
          <w:rFonts w:ascii="Times New Roman;Times;Serif" w:hAnsi="Times New Roman;Times;Serif"/>
          <w:b w:val="false"/>
          <w:i w:val="false"/>
          <w:caps w:val="false"/>
          <w:smallCaps w:val="false"/>
          <w:sz w:val="20"/>
        </w:rPr>
        <w:t>. Our Nominating Committee is composed of Messrs. Rettaliata, Brand and Porcelain. The purpose of the Nominating Committee is to seek and nominate qualified candidates for election or appointment to our Board of Directors. The Nominating Committee held one meeting during fiscal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Committee will seek candidates for election and appointment that possess the integrity, leadership skills and competency required to direct and oversee the Company’s management in the best interests of its stockholders, customers, employees, communities it serves and other affected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candidate must be willing to regularly attend Committee and Board of Directors meetings, to develop a strong understanding of our company, its businesses and its requirements, to contribute his or her time and knowledge to our company and to be prepared to exercise his or her duties with skill and care. In addition, each candidate should have an understanding of all corporate governance concepts and the legal duties of a director of a public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contact the Nominating Committee Chairman, the Chairman of the Board or the Corporate Secretary in writing when proposing a nominee. This correspondence should include a detailed description of the proposed nominee’s qualifications and a method to contact that nominee if the Nominating Committee so chooses.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Executive Committee. </w:t>
      </w:r>
      <w:r>
        <w:rPr>
          <w:rFonts w:ascii="Times New Roman;Times;Serif" w:hAnsi="Times New Roman;Times;Serif"/>
          <w:b w:val="false"/>
          <w:i w:val="false"/>
          <w:caps w:val="false"/>
          <w:smallCaps w:val="false"/>
          <w:sz w:val="20"/>
        </w:rPr>
        <w:t>Our Executive Committee is composed of our Chairman, Peter Rettaliata, Michael Taglich and Robert Taglich. The purpose of the Executive Committee is to assist the Board in fulfilling its functions during the intervals between meetings of the Board. The Executive Committee has all the powers and authority of the Board in connection with the business of the Company and may act in its stead, except as set forth in the Executive Committee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desires to contact any of our directors can write to Air Industries Group, 1460 Fifth Avenue, Bay Shore, New York 11706, Attention: Stockholder Relations. Your letter should indicate that you are an Air Industries Group stockholder. Depending on the subject matter, our stockholder relations personnel will:</w:t>
      </w:r>
    </w:p>
    <w:p>
      <w:pPr>
        <w:pStyle w:val="TextBody"/>
        <w:bidi w:val="0"/>
        <w:spacing w:before="0" w:after="0"/>
        <w:ind w:left="0" w:right="0" w:firstLine="72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68"/>
        <w:gridCol w:w="200"/>
        <w:gridCol w:w="5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forward the communication to the Director(s) to whom it is addressed;</w:t>
            </w:r>
          </w:p>
        </w:tc>
      </w:tr>
    </w:tbl>
    <w:p>
      <w:pPr>
        <w:pStyle w:val="TextBody"/>
        <w:bidi w:val="0"/>
        <w:spacing w:before="0" w:after="0"/>
        <w:ind w:left="0" w:right="0" w:firstLine="720"/>
        <w:jc w:val="left"/>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68"/>
        <w:gridCol w:w="200"/>
        <w:gridCol w:w="57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forward the communication to the appropriate management personnel;</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attempt to handle the inquiry directly, for example where it is a request for information about the Company, or it is a stock-related matter; or</w:t>
            </w:r>
          </w:p>
        </w:tc>
      </w:tr>
    </w:tbl>
    <w:p>
      <w:pPr>
        <w:pStyle w:val="TextBody"/>
        <w:bidi w:val="0"/>
        <w:spacing w:before="0" w:after="0"/>
        <w:ind w:left="0" w:right="0" w:firstLine="72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68"/>
        <w:gridCol w:w="200"/>
        <w:gridCol w:w="95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forward the communication if it is primarily commercial in nature or if it relates to an improper or irrelevant topic.</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code of ethics that applies to our principal executive officers, senior financial officers and persons performing similar functions. Our code of ethics is available on our website and upon written request to our corporate secretary, we will provide you with a copy, without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19"/>
      <w:bookmarkEnd w:id="22"/>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compensation table shows, for the periods indicated, information regarding the compensation awarded to, earned by or paid to each individual that served as our principal executive officer during the fiscal year ended December 31, 2025, each other individual that was serving as an executive officer as of December 31, 2025, and each other individual who served as executive officer during the two years ended December 31, 2025 whose compensation for either of such fiscal years exceeded $100,000 for all services rendered in all capacities to our company and its subsidiaries. The individuals listed in the following table are referred to herein collectively as our “Named Executive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center"/>
        <w:rPr>
          <w:caps w:val="false"/>
          <w:smallCaps w:val="false"/>
        </w:rPr>
      </w:pPr>
      <w:r>
        <w:rPr>
          <w:caps w:val="false"/>
          <w:smallCaps w:val="false"/>
        </w:rPr>
        <w:t> </w:t>
      </w:r>
    </w:p>
    <w:tbl>
      <w:tblPr>
        <w:tblW w:w="12805" w:type="dxa"/>
        <w:jc w:val="left"/>
        <w:tblInd w:w="0" w:type="dxa"/>
        <w:tblLayout w:type="fixed"/>
        <w:tblCellMar>
          <w:top w:w="0" w:type="dxa"/>
          <w:left w:w="0" w:type="dxa"/>
          <w:bottom w:w="28" w:type="dxa"/>
          <w:right w:w="0" w:type="dxa"/>
        </w:tblCellMar>
      </w:tblPr>
      <w:tblGrid>
        <w:gridCol w:w="1790"/>
        <w:gridCol w:w="90"/>
        <w:gridCol w:w="90"/>
        <w:gridCol w:w="530"/>
        <w:gridCol w:w="90"/>
        <w:gridCol w:w="90"/>
        <w:gridCol w:w="90"/>
        <w:gridCol w:w="830"/>
        <w:gridCol w:w="90"/>
        <w:gridCol w:w="90"/>
        <w:gridCol w:w="164"/>
        <w:gridCol w:w="531"/>
        <w:gridCol w:w="90"/>
        <w:gridCol w:w="90"/>
        <w:gridCol w:w="90"/>
        <w:gridCol w:w="830"/>
        <w:gridCol w:w="90"/>
        <w:gridCol w:w="90"/>
        <w:gridCol w:w="189"/>
        <w:gridCol w:w="611"/>
        <w:gridCol w:w="90"/>
        <w:gridCol w:w="90"/>
        <w:gridCol w:w="303"/>
        <w:gridCol w:w="977"/>
        <w:gridCol w:w="90"/>
        <w:gridCol w:w="90"/>
        <w:gridCol w:w="342"/>
        <w:gridCol w:w="1103"/>
        <w:gridCol w:w="90"/>
        <w:gridCol w:w="90"/>
        <w:gridCol w:w="162"/>
        <w:gridCol w:w="1283"/>
        <w:gridCol w:w="215"/>
        <w:gridCol w:w="90"/>
        <w:gridCol w:w="90"/>
        <w:gridCol w:w="1010"/>
        <w:gridCol w:w="135"/>
      </w:tblGrid>
      <w:tr>
        <w:trPr/>
        <w:tc>
          <w:tcPr>
            <w:tcW w:w="1790" w:type="dxa"/>
            <w:tcBorders>
              <w:bottom w:val="single" w:sz="12" w:space="0" w:color="000000"/>
            </w:tcBorders>
            <w:vAlign w:val="center"/>
          </w:tcPr>
          <w:p>
            <w:pPr>
              <w:pStyle w:val="TableContents"/>
              <w:bidi w:val="0"/>
              <w:spacing w:before="0" w:after="283"/>
              <w:jc w:val="left"/>
              <w:rPr>
                <w:b/>
              </w:rPr>
            </w:pPr>
            <w:r>
              <w:rPr>
                <w:b/>
              </w:rPr>
              <w:t>Name and Principal</w:t>
              <w:br/>
              <w:t>Position</w:t>
            </w:r>
          </w:p>
        </w:tc>
        <w:tc>
          <w:tcPr>
            <w:tcW w:w="9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Salary</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b/>
              </w:rPr>
            </w:pPr>
            <w:r>
              <w:rPr>
                <w:b/>
              </w:rPr>
              <w:t>Bonus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Stock</w:t>
              <w:br/>
              <w:t>awards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Option</w:t>
              <w:br/>
              <w:t>awards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Non-equity</w:t>
              <w:br/>
              <w:t>Incentive</w:t>
              <w:br/>
              <w:t>Plan</w:t>
              <w:br/>
              <w:t>Information</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Nonqualified</w:t>
              <w:br/>
              <w:t>deferred</w:t>
              <w:br/>
              <w:t>compensation</w:t>
              <w:br/>
              <w:t>earnings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All other</w:t>
              <w:br/>
              <w:t>compensation</w:t>
              <w:br/>
              <w:t>($)</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135" w:type="dxa"/>
            <w:tcBorders/>
            <w:tcMar>
              <w:bottom w:w="0" w:type="dxa"/>
            </w:tcMar>
            <w:vAlign w:val="center"/>
          </w:tcPr>
          <w:p>
            <w:pPr>
              <w:pStyle w:val="TableContents"/>
              <w:bidi w:val="0"/>
              <w:spacing w:before="0" w:after="283"/>
              <w:jc w:val="left"/>
              <w:rPr/>
            </w:pPr>
            <w:r>
              <w:rPr/>
              <w:t> </w:t>
            </w:r>
          </w:p>
        </w:tc>
      </w:tr>
      <w:tr>
        <w:trPr/>
        <w:tc>
          <w:tcPr>
            <w:tcW w:w="17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Luciano Melluzzo*</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389,758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2" w:type="dxa"/>
            <w:tcBorders/>
            <w:shd w:fill="CCEEFF" w:val="clear"/>
            <w:tcMar>
              <w:bottom w:w="0" w:type="dxa"/>
            </w:tcMar>
            <w:vAlign w:val="center"/>
          </w:tcPr>
          <w:p>
            <w:pPr>
              <w:pStyle w:val="TableContents"/>
              <w:bidi w:val="0"/>
              <w:spacing w:before="0" w:after="283"/>
              <w:jc w:val="left"/>
              <w:rPr/>
            </w:pPr>
            <w:r>
              <w:rPr/>
              <w:t> </w:t>
            </w:r>
          </w:p>
        </w:tc>
        <w:tc>
          <w:tcPr>
            <w:tcW w:w="110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10,800</w:t>
            </w:r>
          </w:p>
        </w:tc>
        <w:tc>
          <w:tcPr>
            <w:tcW w:w="215" w:type="dxa"/>
            <w:tcBorders/>
            <w:shd w:fill="CCEEFF" w:val="clear"/>
            <w:tcMar>
              <w:bottom w:w="0" w:type="dxa"/>
            </w:tcMar>
            <w:vAlign w:val="center"/>
          </w:tcPr>
          <w:p>
            <w:pPr>
              <w:pStyle w:val="TableContents"/>
              <w:bidi w:val="0"/>
              <w:spacing w:before="0" w:after="283"/>
              <w:jc w:val="left"/>
              <w:rPr/>
            </w:pPr>
            <w:r>
              <w:rPr>
                <w:position w:val="8"/>
                <w:sz w:val="19"/>
              </w:rPr>
              <w:t>(1)</w:t>
            </w: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400,558</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President and CEO</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374,566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620,350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3" w:type="dxa"/>
            <w:tcBorders/>
            <w:shd w:fill="FFFFFF" w:val="clear"/>
            <w:tcMar>
              <w:bottom w:w="0" w:type="dxa"/>
            </w:tcMar>
            <w:vAlign w:val="center"/>
          </w:tcPr>
          <w:p>
            <w:pPr>
              <w:pStyle w:val="TableContents"/>
              <w:bidi w:val="0"/>
              <w:spacing w:before="0" w:after="283"/>
              <w:jc w:val="left"/>
              <w:rPr/>
            </w:pPr>
            <w:r>
              <w:rPr/>
              <w:t> </w:t>
            </w:r>
          </w:p>
        </w:tc>
        <w:tc>
          <w:tcPr>
            <w:tcW w:w="977"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42" w:type="dxa"/>
            <w:tcBorders/>
            <w:shd w:fill="FFFFFF" w:val="clear"/>
            <w:tcMar>
              <w:bottom w:w="0" w:type="dxa"/>
            </w:tcMar>
            <w:vAlign w:val="center"/>
          </w:tcPr>
          <w:p>
            <w:pPr>
              <w:pStyle w:val="TableContents"/>
              <w:bidi w:val="0"/>
              <w:spacing w:before="0" w:after="283"/>
              <w:jc w:val="left"/>
              <w:rPr/>
            </w:pPr>
            <w:r>
              <w:rPr/>
              <w:t> </w:t>
            </w:r>
          </w:p>
        </w:tc>
        <w:tc>
          <w:tcPr>
            <w:tcW w:w="110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83" w:type="dxa"/>
            <w:tcBorders/>
            <w:shd w:fill="FFFFFF" w:val="clear"/>
            <w:tcMar>
              <w:bottom w:w="0" w:type="dxa"/>
            </w:tcMar>
            <w:vAlign w:val="center"/>
          </w:tcPr>
          <w:p>
            <w:pPr>
              <w:pStyle w:val="TableContents"/>
              <w:bidi w:val="0"/>
              <w:spacing w:before="0" w:after="283"/>
              <w:jc w:val="right"/>
              <w:rPr/>
            </w:pPr>
            <w:r>
              <w:rPr/>
              <w:t>10,800</w:t>
            </w:r>
          </w:p>
        </w:tc>
        <w:tc>
          <w:tcPr>
            <w:tcW w:w="215" w:type="dxa"/>
            <w:tcBorders/>
            <w:shd w:fill="FFFFFF" w:val="clear"/>
            <w:tcMar>
              <w:bottom w:w="0" w:type="dxa"/>
            </w:tcMar>
            <w:vAlign w:val="center"/>
          </w:tcPr>
          <w:p>
            <w:pPr>
              <w:pStyle w:val="TableContents"/>
              <w:bidi w:val="0"/>
              <w:spacing w:before="0" w:after="283"/>
              <w:jc w:val="left"/>
              <w:rPr/>
            </w:pPr>
            <w:r>
              <w:rPr>
                <w:position w:val="8"/>
                <w:sz w:val="19"/>
              </w:rPr>
              <w:t>(1)</w:t>
            </w: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1,005,716</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Scott Glassman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233,331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53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61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42" w:type="dxa"/>
            <w:tcBorders/>
            <w:shd w:fill="CCEEFF" w:val="clear"/>
            <w:tcMar>
              <w:bottom w:w="0" w:type="dxa"/>
            </w:tcMar>
            <w:vAlign w:val="center"/>
          </w:tcPr>
          <w:p>
            <w:pPr>
              <w:pStyle w:val="TableContents"/>
              <w:bidi w:val="0"/>
              <w:spacing w:before="0" w:after="283"/>
              <w:jc w:val="left"/>
              <w:rPr/>
            </w:pPr>
            <w:r>
              <w:rPr/>
              <w:t> </w:t>
            </w:r>
          </w:p>
        </w:tc>
        <w:tc>
          <w:tcPr>
            <w:tcW w:w="110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233,331</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CFO**</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224,231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531"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371,363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611"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03" w:type="dxa"/>
            <w:tcBorders/>
            <w:shd w:fill="FFFFFF" w:val="clear"/>
            <w:tcMar>
              <w:bottom w:w="0" w:type="dxa"/>
            </w:tcMar>
            <w:vAlign w:val="center"/>
          </w:tcPr>
          <w:p>
            <w:pPr>
              <w:pStyle w:val="TableContents"/>
              <w:bidi w:val="0"/>
              <w:spacing w:before="0" w:after="283"/>
              <w:jc w:val="left"/>
              <w:rPr/>
            </w:pPr>
            <w:r>
              <w:rPr/>
              <w:t> </w:t>
            </w:r>
          </w:p>
        </w:tc>
        <w:tc>
          <w:tcPr>
            <w:tcW w:w="977"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42" w:type="dxa"/>
            <w:tcBorders/>
            <w:shd w:fill="FFFFFF" w:val="clear"/>
            <w:tcMar>
              <w:bottom w:w="0" w:type="dxa"/>
            </w:tcMar>
            <w:vAlign w:val="center"/>
          </w:tcPr>
          <w:p>
            <w:pPr>
              <w:pStyle w:val="TableContents"/>
              <w:bidi w:val="0"/>
              <w:spacing w:before="0" w:after="283"/>
              <w:jc w:val="left"/>
              <w:rPr/>
            </w:pPr>
            <w:r>
              <w:rPr/>
              <w:t> </w:t>
            </w:r>
          </w:p>
        </w:tc>
        <w:tc>
          <w:tcPr>
            <w:tcW w:w="110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283"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595,594</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395"/>
        <w:gridCol w:w="825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Melluzzo resigned from his position effective March 11, 2026.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Glassman was appointed Acting Chief Executive Officer and President effective March 18, 2026.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 </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car allowance.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named in the above table do not have employment agreements providing for a fixed term of employment. All are employees at will, terminable at any time without any severance, other than that payable to employees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 Policies as They Relate to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management have considered whether our compensation policies might encourage inappropriate risk taking by our executive officers and other employees. The Compensation Committee has determined that the current compensation structure aligns the interests of the executive officers with those of the Company without providing rewards for excessive risk taking by awarding a mix of fixed and performance based or discretionary bonuses with the performance-based compensation focused on profits as opposed to revenue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working with management adopts a plan each year intended to award members of our management including executive officers for meeting or exceeding targeted goal. As these goals were not met for 2025, the Committee believes the amounts to be paid to Messrs. Melluzzo and Glassman for services rendered in fiscal 2025 are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2025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certain information regarding outstanding equity awards held by our Named Executive Officers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6"/>
        <w:gridCol w:w="90"/>
        <w:gridCol w:w="145"/>
        <w:gridCol w:w="1150"/>
        <w:gridCol w:w="90"/>
        <w:gridCol w:w="90"/>
        <w:gridCol w:w="349"/>
        <w:gridCol w:w="1126"/>
        <w:gridCol w:w="90"/>
        <w:gridCol w:w="90"/>
        <w:gridCol w:w="202"/>
        <w:gridCol w:w="703"/>
        <w:gridCol w:w="90"/>
        <w:gridCol w:w="90"/>
        <w:gridCol w:w="1145"/>
        <w:gridCol w:w="90"/>
        <w:gridCol w:w="151"/>
        <w:gridCol w:w="1204"/>
        <w:gridCol w:w="257"/>
        <w:gridCol w:w="90"/>
        <w:gridCol w:w="263"/>
        <w:gridCol w:w="1287"/>
        <w:gridCol w:w="137"/>
      </w:tblGrid>
      <w:tr>
        <w:trPr/>
        <w:tc>
          <w:tcPr>
            <w:tcW w:w="127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0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2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Stock Awards</w:t>
            </w:r>
          </w:p>
        </w:tc>
        <w:tc>
          <w:tcPr>
            <w:tcW w:w="137" w:type="dxa"/>
            <w:tcBorders/>
            <w:vAlign w:val="center"/>
          </w:tcPr>
          <w:p>
            <w:pPr>
              <w:pStyle w:val="TableContents"/>
              <w:bidi w:val="0"/>
              <w:spacing w:before="0" w:after="283"/>
              <w:jc w:val="left"/>
              <w:rPr/>
            </w:pPr>
            <w:r>
              <w:rPr/>
              <w:t> </w:t>
            </w:r>
          </w:p>
        </w:tc>
      </w:tr>
      <w:tr>
        <w:trPr/>
        <w:tc>
          <w:tcPr>
            <w:tcW w:w="1276"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9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 Incentive</w:t>
              <w:br/>
              <w:t>Plan Awards:</w:t>
              <w:br/>
              <w:t>Number of</w:t>
              <w:br/>
              <w:t>Unearned Shares,</w:t>
              <w:br/>
              <w:t>Units or Other</w:t>
              <w:br/>
              <w:t>Rights That Have</w:t>
              <w:br/>
              <w:t>Not Vested</w:t>
              <w:br/>
              <w:t>(#)</w:t>
            </w:r>
          </w:p>
        </w:tc>
        <w:tc>
          <w:tcPr>
            <w:tcW w:w="25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 Incentive Plan</w:t>
              <w:br/>
              <w:t>Awards: Market or</w:t>
              <w:br/>
              <w:t>Payout Value</w:t>
              <w:br/>
              <w:t>of Unearned</w:t>
              <w:br/>
              <w:t>Shares,</w:t>
              <w:br/>
              <w:t>Units or Other Rights</w:t>
              <w:br/>
              <w:t xml:space="preserve">That Have Not Vested (1) </w:t>
              <w:br/>
              <w:t>($)</w:t>
            </w:r>
          </w:p>
        </w:tc>
        <w:tc>
          <w:tcPr>
            <w:tcW w:w="137" w:type="dxa"/>
            <w:tcBorders/>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Luciano Melluzzo</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48,000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3.43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6/30/2028</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68,245</w:t>
            </w:r>
          </w:p>
        </w:tc>
        <w:tc>
          <w:tcPr>
            <w:tcW w:w="257" w:type="dxa"/>
            <w:tcBorders/>
            <w:shd w:fill="CCEEFF" w:val="clear"/>
            <w:vAlign w:val="center"/>
          </w:tcPr>
          <w:p>
            <w:pPr>
              <w:pStyle w:val="TableContents"/>
              <w:bidi w:val="0"/>
              <w:spacing w:before="0" w:after="283"/>
              <w:jc w:val="left"/>
              <w:rPr/>
            </w:pPr>
            <w:r>
              <w:rPr>
                <w:position w:val="8"/>
                <w:sz w:val="19"/>
              </w:rPr>
              <w:t>(2)</w:t>
            </w: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287" w:type="dxa"/>
            <w:tcBorders/>
            <w:shd w:fill="CCEEFF" w:val="clear"/>
            <w:vAlign w:val="center"/>
          </w:tcPr>
          <w:p>
            <w:pPr>
              <w:pStyle w:val="TableContents"/>
              <w:bidi w:val="0"/>
              <w:spacing w:before="0" w:after="283"/>
              <w:jc w:val="right"/>
              <w:rPr/>
            </w:pPr>
            <w:r>
              <w:rPr/>
              <w:t>209,512</w:t>
            </w:r>
          </w:p>
        </w:tc>
        <w:tc>
          <w:tcPr>
            <w:tcW w:w="137" w:type="dxa"/>
            <w:tcBorders/>
            <w:shd w:fill="CCEE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5/31/2028</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2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8.30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3/31/2027</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2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12.20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7/31/2026</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2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13.90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3/31/2026</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2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Scott Glassman</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5/31/2028</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40,854</w:t>
            </w:r>
          </w:p>
        </w:tc>
        <w:tc>
          <w:tcPr>
            <w:tcW w:w="257" w:type="dxa"/>
            <w:tcBorders/>
            <w:shd w:fill="CCEEFF" w:val="clear"/>
            <w:vAlign w:val="center"/>
          </w:tcPr>
          <w:p>
            <w:pPr>
              <w:pStyle w:val="TableContents"/>
              <w:bidi w:val="0"/>
              <w:spacing w:before="0" w:after="283"/>
              <w:jc w:val="left"/>
              <w:rPr/>
            </w:pPr>
            <w:r>
              <w:rPr>
                <w:position w:val="8"/>
                <w:sz w:val="19"/>
              </w:rPr>
              <w:t>(2)</w:t>
            </w: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287" w:type="dxa"/>
            <w:tcBorders/>
            <w:shd w:fill="CCEEFF" w:val="clear"/>
            <w:vAlign w:val="center"/>
          </w:tcPr>
          <w:p>
            <w:pPr>
              <w:pStyle w:val="TableContents"/>
              <w:bidi w:val="0"/>
              <w:spacing w:before="0" w:after="283"/>
              <w:jc w:val="right"/>
              <w:rPr/>
            </w:pPr>
            <w:r>
              <w:rPr/>
              <w:t>125,422</w:t>
            </w:r>
          </w:p>
        </w:tc>
        <w:tc>
          <w:tcPr>
            <w:tcW w:w="137" w:type="dxa"/>
            <w:tcBorders/>
            <w:shd w:fill="CCEE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4,100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3.43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6/30/2028</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2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3,000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8.40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3/31/2027</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2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12.20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7/31/2026</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2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127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13.90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3/31/2026</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w:t>
            </w:r>
          </w:p>
        </w:tc>
        <w:tc>
          <w:tcPr>
            <w:tcW w:w="25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 </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dollar amounts shown in this column are determined by multiplying the number of shares or units in the preceding column by $3.07, the closing price of the Company’s common stock on December 31, 2025.</w:t>
            </w:r>
          </w:p>
        </w:tc>
      </w:tr>
      <w:tr>
        <w:trPr/>
        <w:tc>
          <w:tcPr>
            <w:tcW w:w="2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One-third of the RSUs subject to these awards were released on April 1, 2025, and subject to the terms of the award agreements, the remainder of the RSUs are scheduled to vest in two equal annual installments commencing on April 1, 2026. Based on Mr. Melluzzo’s retirement, it was agreed that the awards to be received on April 1, 2026, would be released, and those for 2027 will be forfeited.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three equity incentive plans all of which are substantially identical except as to the number of awards which may be granted, pursuant to which we can grant awards with respect to an aggregate of 1,055,000 shares of our common stock. We have the right to grant awards pursuant to each plan until the tenth anniversary of the date on which it was approved by our stockholders.  The 2022 Equity Incentive Plan was approved by our stockholders in June 2022; and amendments to the 2022 Equity Incentive Plan were approved by our stockholders at our Annual Meeting in 2023 and 2024, and most recently at our Annual Meeting in 2025 to increase the number of shares as to which grants may be awarded to 900.000; the 2017 Equity Incentive Plan authorizes grants as to 120,000 shares and was approved by our stockholders in October 2017; and the 2016 Equity Incentive Plan authorizes grants as to 35,000 shares and was approved by our stockholders in November 2016.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Plans permit the Company to grant stock awards, non-qualified and incentive stock options, restricted stock units and other forms of rewards to employees, directors and consultants. The Plans are administered by the Compensation Committee of the Board and each has a term of ten years from the date it was adopted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the Plans to provide a means by which employees, directors, and consultants of our Company and those of our subsidiaries and other designated affiliates, which we refer to together as our affiliates, may be given an opportunity to purchase our common stock, to assist in retaining the services of such persons, to secure and retain the services of persons capable of filling such positions, and to provide incentives for such persons to exert maximum efforts for our success and the success of our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0"/>
      <w:bookmarkEnd w:id="23"/>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us regarding beneficial ownership of our Common Stock as of March 25, 2026 by (i) each person known by us to own beneficially more than 5% of our outstanding Common Stock, (ii) each of our directors, (iii) our Chief Executive Officer and Principal Financial Officer, our only executive officers, and (iii) all of our directors and executive officers as a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we believe, based on information provided by each of the individuals named in the table below, that such individuals have sole investment and voting power with respect to such shares, subject to community property laws, where applicable. As of March 25, 2026, we had outstanding 4,781,054 shares of Common Stock. Except as stated in the table, the address of the holder is c/o our company, 1460 Fifth Avenue, Bay Shore, New York 11706.</w:t>
      </w:r>
    </w:p>
    <w:p>
      <w:pPr>
        <w:pStyle w:val="TextBody"/>
        <w:bidi w:val="0"/>
        <w:spacing w:before="0" w:after="0"/>
        <w:ind w:left="0" w:right="0" w:hanging="0"/>
        <w:jc w:val="both"/>
        <w:rPr>
          <w:caps w:val="false"/>
          <w:smallCaps w:val="false"/>
        </w:rPr>
      </w:pPr>
      <w:r>
        <w:rPr>
          <w:caps w:val="false"/>
          <w:smallCaps w:val="false"/>
        </w:rPr>
        <w:t> </w:t>
      </w:r>
    </w:p>
    <w:tbl>
      <w:tblPr>
        <w:tblW w:w="9970" w:type="dxa"/>
        <w:jc w:val="left"/>
        <w:tblInd w:w="0" w:type="dxa"/>
        <w:tblLayout w:type="fixed"/>
        <w:tblCellMar>
          <w:top w:w="0" w:type="dxa"/>
          <w:left w:w="0" w:type="dxa"/>
          <w:bottom w:w="28" w:type="dxa"/>
          <w:right w:w="0" w:type="dxa"/>
        </w:tblCellMar>
      </w:tblPr>
      <w:tblGrid>
        <w:gridCol w:w="7100"/>
        <w:gridCol w:w="90"/>
        <w:gridCol w:w="99"/>
        <w:gridCol w:w="1121"/>
        <w:gridCol w:w="350"/>
        <w:gridCol w:w="90"/>
        <w:gridCol w:w="109"/>
        <w:gridCol w:w="721"/>
        <w:gridCol w:w="290"/>
      </w:tblGrid>
      <w:tr>
        <w:trPr/>
        <w:tc>
          <w:tcPr>
            <w:tcW w:w="7100" w:type="dxa"/>
            <w:tcBorders>
              <w:bottom w:val="single" w:sz="12" w:space="0" w:color="000000"/>
            </w:tcBorders>
            <w:vAlign w:val="center"/>
          </w:tcPr>
          <w:p>
            <w:pPr>
              <w:pStyle w:val="TableContents"/>
              <w:bidi w:val="0"/>
              <w:spacing w:before="0" w:after="283"/>
              <w:jc w:val="left"/>
              <w:rPr>
                <w:b/>
              </w:rPr>
            </w:pPr>
            <w:r>
              <w:rPr>
                <w:b/>
              </w:rPr>
              <w:t>Directors and Executive Officers:</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Number of</w:t>
              <w:br/>
              <w:t>Shares</w:t>
              <w:br/>
              <w:t>Beneficially</w:t>
              <w:br/>
              <w:t>Owned</w:t>
            </w:r>
          </w:p>
        </w:tc>
        <w:tc>
          <w:tcPr>
            <w:tcW w:w="350" w:type="dxa"/>
            <w:tcBorders/>
            <w:tcMar>
              <w:bottom w:w="0" w:type="dxa"/>
            </w:tcMar>
            <w:vAlign w:val="center"/>
          </w:tcPr>
          <w:p>
            <w:pPr>
              <w:pStyle w:val="TableContents"/>
              <w:bidi w:val="0"/>
              <w:spacing w:before="0" w:after="283"/>
              <w:jc w:val="left"/>
              <w:rPr>
                <w:position w:val="8"/>
                <w:sz w:val="19"/>
              </w:rPr>
            </w:pPr>
            <w:r>
              <w:rPr>
                <w:position w:val="8"/>
                <w:sz w:val="19"/>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Percent</w:t>
            </w:r>
          </w:p>
        </w:tc>
        <w:tc>
          <w:tcPr>
            <w:tcW w:w="290" w:type="dxa"/>
            <w:tcBorders/>
            <w:tcMar>
              <w:bottom w:w="0" w:type="dxa"/>
            </w:tcMar>
            <w:vAlign w:val="center"/>
          </w:tcPr>
          <w:p>
            <w:pPr>
              <w:pStyle w:val="TableContents"/>
              <w:bidi w:val="0"/>
              <w:spacing w:before="0" w:after="283"/>
              <w:jc w:val="left"/>
              <w:rPr/>
            </w:pPr>
            <w:r>
              <w:rPr/>
              <w:t> </w:t>
            </w:r>
          </w:p>
        </w:tc>
      </w:tr>
      <w:tr>
        <w:trPr/>
        <w:tc>
          <w:tcPr>
            <w:tcW w:w="7100" w:type="dxa"/>
            <w:tcBorders/>
            <w:shd w:fill="CCEEFF" w:val="clear"/>
            <w:tcMar>
              <w:bottom w:w="0" w:type="dxa"/>
            </w:tcMar>
            <w:vAlign w:val="center"/>
          </w:tcPr>
          <w:p>
            <w:pPr>
              <w:pStyle w:val="TableContents"/>
              <w:bidi w:val="0"/>
              <w:spacing w:before="0" w:after="283"/>
              <w:jc w:val="left"/>
              <w:rPr/>
            </w:pPr>
            <w:r>
              <w:rPr/>
              <w:t>Michael N. Taglich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694,634</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(1)</w:t>
            </w: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13.84</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7100" w:type="dxa"/>
            <w:tcBorders/>
            <w:shd w:fill="FFFFFF" w:val="clear"/>
            <w:tcMar>
              <w:bottom w:w="0" w:type="dxa"/>
            </w:tcMar>
            <w:vAlign w:val="center"/>
          </w:tcPr>
          <w:p>
            <w:pPr>
              <w:pStyle w:val="TableContents"/>
              <w:bidi w:val="0"/>
              <w:spacing w:before="0" w:after="283"/>
              <w:jc w:val="left"/>
              <w:rPr/>
            </w:pPr>
            <w:r>
              <w:rPr/>
              <w:t>Robert F. Taglich</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492,423</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(2)</w:t>
            </w: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9.88</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7100" w:type="dxa"/>
            <w:tcBorders/>
            <w:shd w:fill="CCEEFF" w:val="clear"/>
            <w:tcMar>
              <w:bottom w:w="0" w:type="dxa"/>
            </w:tcMar>
            <w:vAlign w:val="center"/>
          </w:tcPr>
          <w:p>
            <w:pPr>
              <w:pStyle w:val="TableContents"/>
              <w:bidi w:val="0"/>
              <w:spacing w:before="0" w:after="283"/>
              <w:jc w:val="left"/>
              <w:rPr/>
            </w:pPr>
            <w:r>
              <w:rPr/>
              <w:t>Peter D. Rettaliata</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84,951</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1.76</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7100" w:type="dxa"/>
            <w:tcBorders/>
            <w:shd w:fill="FFFFFF" w:val="clear"/>
            <w:tcMar>
              <w:bottom w:w="0" w:type="dxa"/>
            </w:tcMar>
            <w:vAlign w:val="center"/>
          </w:tcPr>
          <w:p>
            <w:pPr>
              <w:pStyle w:val="TableContents"/>
              <w:bidi w:val="0"/>
              <w:spacing w:before="0" w:after="283"/>
              <w:jc w:val="left"/>
              <w:rPr/>
            </w:pPr>
            <w:r>
              <w:rPr/>
              <w:t>David Buonanno</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40,722</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7100" w:type="dxa"/>
            <w:tcBorders/>
            <w:shd w:fill="CCEEFF" w:val="clear"/>
            <w:tcMar>
              <w:bottom w:w="0" w:type="dxa"/>
            </w:tcMar>
            <w:vAlign w:val="center"/>
          </w:tcPr>
          <w:p>
            <w:pPr>
              <w:pStyle w:val="TableContents"/>
              <w:bidi w:val="0"/>
              <w:spacing w:before="0" w:after="283"/>
              <w:jc w:val="left"/>
              <w:rPr/>
            </w:pPr>
            <w:r>
              <w:rPr/>
              <w:t>Michael Brand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44,170</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(5)</w:t>
            </w: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7100" w:type="dxa"/>
            <w:tcBorders/>
            <w:shd w:fill="FFFFFF" w:val="clear"/>
            <w:tcMar>
              <w:bottom w:w="0" w:type="dxa"/>
            </w:tcMar>
            <w:vAlign w:val="center"/>
          </w:tcPr>
          <w:p>
            <w:pPr>
              <w:pStyle w:val="TableContents"/>
              <w:bidi w:val="0"/>
              <w:spacing w:before="0" w:after="283"/>
              <w:jc w:val="left"/>
              <w:rPr/>
            </w:pPr>
            <w:r>
              <w:rPr/>
              <w:t>Michael Porcelain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155,818</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(6)</w:t>
            </w: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3.20</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7100" w:type="dxa"/>
            <w:tcBorders/>
            <w:shd w:fill="CCEEFF" w:val="clear"/>
            <w:tcMar>
              <w:bottom w:w="0" w:type="dxa"/>
            </w:tcMar>
            <w:vAlign w:val="center"/>
          </w:tcPr>
          <w:p>
            <w:pPr>
              <w:pStyle w:val="TableContents"/>
              <w:bidi w:val="0"/>
              <w:spacing w:before="0" w:after="283"/>
              <w:jc w:val="left"/>
              <w:rPr/>
            </w:pPr>
            <w:r>
              <w:rPr/>
              <w:t>Scott Glassman, Acting Chief Executive Officer and President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60,918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(7)</w:t>
            </w: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1.26</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7100" w:type="dxa"/>
            <w:tcBorders/>
            <w:shd w:fill="FFFFFF" w:val="clear"/>
            <w:tcMar>
              <w:bottom w:w="0" w:type="dxa"/>
            </w:tcMar>
            <w:vAlign w:val="center"/>
          </w:tcPr>
          <w:p>
            <w:pPr>
              <w:pStyle w:val="TableContents"/>
              <w:bidi w:val="0"/>
              <w:spacing w:before="0" w:after="283"/>
              <w:jc w:val="left"/>
              <w:rPr/>
            </w:pPr>
            <w:r>
              <w:rPr/>
              <w:t>All Directors and Executive Officers as a group (7 persons owning 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1,573,636</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(8)</w:t>
            </w: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28.67</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71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Drisgula, Vice President of Finance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710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71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Beneficial Ownership of More than 5% of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71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L. Frischer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1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444,998</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9.31</w:t>
            </w:r>
          </w:p>
        </w:tc>
        <w:tc>
          <w:tcPr>
            <w:tcW w:w="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Star Equity Fund and Jeffery E. Eberwein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285,000</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70"/>
        <w:gridCol w:w="11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shares owned by Mr. Taglich, 203,012 shares he may acquire upon conversion of convertible notes, but excluding shares for accrued interest thereon, 12,159 shares that he may acquire upon exercising RSUs and 23,620 shares he may acquire upon exercise of options, in each case exercisable within 60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shares owned by Mr. Taglich, 168,907 shares he may acquire upon conversion of convertible notes, but excluding shares for accrued interest thereon, 12,159 shares he may acquire upon exercising RSUs and 23,620 shares he may acquire upon exercise of options, in each case exercisable within 60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12,159 shares he may acquire upon converting RSUs and 46,640 shares he may acquire upon exercise of options exercisable within 60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12,159 shares he may acquire upon converting RSUs and 23,760 shares he may acquire upon exercise of options exercisable within 60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12,159 shares he may acquire upon converting RSUs and 25,760 shares he may acquire upon exercise of options exercisable within 60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60,791 shares he may acquire upon converting RSUs and 23,760 shares he may acquire upon exercise of options exercisable within 60 days.</w:t>
            </w:r>
          </w:p>
        </w:tc>
      </w:tr>
      <w:tr>
        <w:trPr/>
        <w:tc>
          <w:tcPr>
            <w:tcW w:w="254" w:type="dxa"/>
            <w:tcBorders/>
            <w:vAlign w:val="center"/>
          </w:tcPr>
          <w:p>
            <w:pPr>
              <w:pStyle w:val="TableContents"/>
              <w:bidi w:val="0"/>
              <w:spacing w:before="0" w:after="283"/>
              <w:jc w:val="left"/>
              <w:rPr/>
            </w:pPr>
            <w:r>
              <w:rPr/>
              <w:t> </w:t>
            </w:r>
          </w:p>
        </w:tc>
        <w:tc>
          <w:tcPr>
            <w:tcW w:w="9951" w:type="dxa"/>
            <w:tcBorders/>
            <w:vAlign w:val="center"/>
          </w:tcPr>
          <w:p>
            <w:pPr>
              <w:pStyle w:val="TableContents"/>
              <w:bidi w:val="0"/>
              <w:spacing w:before="0" w:after="283"/>
              <w:jc w:val="left"/>
              <w:rPr/>
            </w:pPr>
            <w:r>
              <w:rPr/>
              <w:t> </w:t>
            </w:r>
          </w:p>
        </w:tc>
      </w:tr>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32,586 shares he may acquire upon converting 12,159 RSUs and upon 20,427 RSUs vesting within 60 days. Includes 16,350 shares he may acquire upon exercise of options exercisable within 60 days.</w:t>
            </w:r>
          </w:p>
        </w:tc>
      </w:tr>
      <w:tr>
        <w:trPr/>
        <w:tc>
          <w:tcPr>
            <w:tcW w:w="254" w:type="dxa"/>
            <w:tcBorders/>
            <w:vAlign w:val="center"/>
          </w:tcPr>
          <w:p>
            <w:pPr>
              <w:pStyle w:val="TableContents"/>
              <w:bidi w:val="0"/>
              <w:spacing w:before="0" w:after="283"/>
              <w:jc w:val="left"/>
              <w:rPr/>
            </w:pPr>
            <w:r>
              <w:rPr/>
              <w:t> </w:t>
            </w:r>
          </w:p>
        </w:tc>
        <w:tc>
          <w:tcPr>
            <w:tcW w:w="9951" w:type="dxa"/>
            <w:tcBorders/>
            <w:vAlign w:val="center"/>
          </w:tcPr>
          <w:p>
            <w:pPr>
              <w:pStyle w:val="TableContents"/>
              <w:bidi w:val="0"/>
              <w:spacing w:before="0" w:after="283"/>
              <w:jc w:val="left"/>
              <w:rPr/>
            </w:pPr>
            <w:r>
              <w:rPr/>
              <w:t> </w:t>
            </w:r>
          </w:p>
        </w:tc>
      </w:tr>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371,919 shares that may be acquired upon conversion of convertible notes, and 182,510 shares that may be acquired upon exercise of options, in each case exercisable within 60 days.</w:t>
            </w:r>
          </w:p>
        </w:tc>
      </w:tr>
      <w:tr>
        <w:trPr/>
        <w:tc>
          <w:tcPr>
            <w:tcW w:w="254" w:type="dxa"/>
            <w:tcBorders/>
            <w:vAlign w:val="center"/>
          </w:tcPr>
          <w:p>
            <w:pPr>
              <w:pStyle w:val="TableContents"/>
              <w:bidi w:val="0"/>
              <w:spacing w:before="0" w:after="283"/>
              <w:jc w:val="left"/>
              <w:rPr/>
            </w:pPr>
            <w:r>
              <w:rPr/>
              <w:t> </w:t>
            </w:r>
          </w:p>
        </w:tc>
        <w:tc>
          <w:tcPr>
            <w:tcW w:w="9951" w:type="dxa"/>
            <w:tcBorders/>
            <w:vAlign w:val="center"/>
          </w:tcPr>
          <w:p>
            <w:pPr>
              <w:pStyle w:val="TableContents"/>
              <w:bidi w:val="0"/>
              <w:spacing w:before="0" w:after="283"/>
              <w:jc w:val="both"/>
              <w:rPr/>
            </w:pPr>
            <w:r>
              <w:rPr/>
              <w:t> </w:t>
            </w:r>
          </w:p>
        </w:tc>
      </w:tr>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information set forth below is based on the Schedule 13D filed with the SEC and the Company on March 23, 2026 reflecting ownership as of that date. The beneficial ownership percentage set forth below is based upon 4,781,054 shares outstanding as of March 25,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579" w:type="dxa"/>
        <w:jc w:val="left"/>
        <w:tblInd w:w="0" w:type="dxa"/>
        <w:tblLayout w:type="fixed"/>
        <w:tblCellMar>
          <w:top w:w="0" w:type="dxa"/>
          <w:left w:w="0" w:type="dxa"/>
          <w:bottom w:w="0" w:type="dxa"/>
          <w:right w:w="0" w:type="dxa"/>
        </w:tblCellMar>
      </w:tblPr>
      <w:tblGrid>
        <w:gridCol w:w="1880"/>
        <w:gridCol w:w="90"/>
        <w:gridCol w:w="90"/>
        <w:gridCol w:w="830"/>
        <w:gridCol w:w="90"/>
        <w:gridCol w:w="90"/>
        <w:gridCol w:w="344"/>
        <w:gridCol w:w="1115"/>
        <w:gridCol w:w="90"/>
        <w:gridCol w:w="90"/>
        <w:gridCol w:w="112"/>
        <w:gridCol w:w="1033"/>
        <w:gridCol w:w="90"/>
        <w:gridCol w:w="90"/>
        <w:gridCol w:w="271"/>
        <w:gridCol w:w="874"/>
        <w:gridCol w:w="90"/>
        <w:gridCol w:w="90"/>
        <w:gridCol w:w="90"/>
        <w:gridCol w:w="830"/>
        <w:gridCol w:w="90"/>
        <w:gridCol w:w="90"/>
        <w:gridCol w:w="133"/>
        <w:gridCol w:w="697"/>
        <w:gridCol w:w="290"/>
      </w:tblGrid>
      <w:tr>
        <w:trPr/>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Sole</w:t>
              <w:br/>
              <w:t>Voting</w:t>
              <w:br/>
              <w:t>Power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Shared</w:t>
              <w:br/>
              <w:t>Voting Power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Sole</w:t>
              <w:br/>
              <w:t>Dispositive</w:t>
              <w:br/>
              <w:t>Power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Shared</w:t>
              <w:br/>
              <w:t>Dispositive</w:t>
              <w:br/>
              <w:t>Power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90"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Charles L. Frischer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444,998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444,998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444,998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9.31</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for Charles L. Frischer is 3156 East Laurelhurst Drive, NE, Seattle, WA 98105.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information set forth below is based on the Schedule 13D filed with the SEC and the Company on January 21, 2026 reflecting ownership as of that date. The beneficial ownership percentage set forth below is based upon 4,781,054 shares outstanding as of March 25,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5"/>
        <w:gridCol w:w="90"/>
        <w:gridCol w:w="90"/>
        <w:gridCol w:w="830"/>
        <w:gridCol w:w="90"/>
        <w:gridCol w:w="90"/>
        <w:gridCol w:w="139"/>
        <w:gridCol w:w="1100"/>
        <w:gridCol w:w="90"/>
        <w:gridCol w:w="90"/>
        <w:gridCol w:w="112"/>
        <w:gridCol w:w="1033"/>
        <w:gridCol w:w="90"/>
        <w:gridCol w:w="90"/>
        <w:gridCol w:w="128"/>
        <w:gridCol w:w="1017"/>
        <w:gridCol w:w="90"/>
        <w:gridCol w:w="90"/>
        <w:gridCol w:w="90"/>
        <w:gridCol w:w="830"/>
        <w:gridCol w:w="90"/>
        <w:gridCol w:w="90"/>
        <w:gridCol w:w="133"/>
        <w:gridCol w:w="697"/>
        <w:gridCol w:w="291"/>
      </w:tblGrid>
      <w:tr>
        <w:trPr/>
        <w:tc>
          <w:tcPr>
            <w:tcW w:w="2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Sole</w:t>
              <w:br/>
              <w:t>Voting</w:t>
              <w:br/>
              <w:t>Power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Shared</w:t>
              <w:br/>
              <w:t>Voting Power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Sole</w:t>
              <w:br/>
              <w:t>Dispositive</w:t>
              <w:br/>
              <w:t>Power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Shared</w:t>
              <w:br/>
              <w:t>Dispositive</w:t>
              <w:br/>
              <w:t>Power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91" w:type="dxa"/>
            <w:tcBorders/>
            <w:vAlign w:val="center"/>
          </w:tcPr>
          <w:p>
            <w:pPr>
              <w:pStyle w:val="TableContents"/>
              <w:bidi w:val="0"/>
              <w:spacing w:before="0" w:after="283"/>
              <w:jc w:val="left"/>
              <w:rPr/>
            </w:pPr>
            <w:r>
              <w:rPr/>
              <w:t> </w:t>
            </w:r>
          </w:p>
        </w:tc>
      </w:tr>
      <w:tr>
        <w:trPr/>
        <w:tc>
          <w:tcPr>
            <w:tcW w:w="2725" w:type="dxa"/>
            <w:tcBorders/>
            <w:shd w:fill="CCEEFF" w:val="clear"/>
            <w:vAlign w:val="center"/>
          </w:tcPr>
          <w:p>
            <w:pPr>
              <w:pStyle w:val="TableContents"/>
              <w:bidi w:val="0"/>
              <w:spacing w:before="0" w:after="283"/>
              <w:jc w:val="left"/>
              <w:rPr/>
            </w:pPr>
            <w:r>
              <w:rPr/>
              <w:t>Star Equity Holdings, Inc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1.78</w:t>
            </w:r>
          </w:p>
        </w:tc>
        <w:tc>
          <w:tcPr>
            <w:tcW w:w="291" w:type="dxa"/>
            <w:tcBorders/>
            <w:shd w:fill="CCEEFF" w:val="clear"/>
            <w:vAlign w:val="center"/>
          </w:tcPr>
          <w:p>
            <w:pPr>
              <w:pStyle w:val="TableContents"/>
              <w:bidi w:val="0"/>
              <w:spacing w:before="0" w:after="283"/>
              <w:jc w:val="left"/>
              <w:rPr/>
            </w:pPr>
            <w:r>
              <w:rPr/>
              <w:t>%</w:t>
            </w:r>
          </w:p>
        </w:tc>
      </w:tr>
      <w:tr>
        <w:trPr/>
        <w:tc>
          <w:tcPr>
            <w:tcW w:w="2725" w:type="dxa"/>
            <w:tcBorders/>
            <w:shd w:fill="FFFFFF" w:val="clear"/>
            <w:vAlign w:val="center"/>
          </w:tcPr>
          <w:p>
            <w:pPr>
              <w:pStyle w:val="TableContents"/>
              <w:bidi w:val="0"/>
              <w:spacing w:before="0" w:after="283"/>
              <w:jc w:val="left"/>
              <w:rPr/>
            </w:pPr>
            <w:r>
              <w:rPr/>
              <w:t>Star Operating Companies, Inc.</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85,000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85,000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1.78</w:t>
            </w:r>
          </w:p>
        </w:tc>
        <w:tc>
          <w:tcPr>
            <w:tcW w:w="291" w:type="dxa"/>
            <w:tcBorders/>
            <w:shd w:fill="FFFFFF" w:val="clear"/>
            <w:vAlign w:val="center"/>
          </w:tcPr>
          <w:p>
            <w:pPr>
              <w:pStyle w:val="TableContents"/>
              <w:bidi w:val="0"/>
              <w:spacing w:before="0" w:after="283"/>
              <w:jc w:val="left"/>
              <w:rPr/>
            </w:pPr>
            <w:r>
              <w:rPr/>
              <w:t>%</w:t>
            </w:r>
          </w:p>
        </w:tc>
      </w:tr>
      <w:tr>
        <w:trPr/>
        <w:tc>
          <w:tcPr>
            <w:tcW w:w="2725" w:type="dxa"/>
            <w:tcBorders/>
            <w:shd w:fill="CCEEFF" w:val="clear"/>
            <w:vAlign w:val="center"/>
          </w:tcPr>
          <w:p>
            <w:pPr>
              <w:pStyle w:val="TableContents"/>
              <w:bidi w:val="0"/>
              <w:spacing w:before="0" w:after="283"/>
              <w:jc w:val="left"/>
              <w:rPr/>
            </w:pPr>
            <w:r>
              <w:rPr/>
              <w:t>Star Equity Fund, LP</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1.78</w:t>
            </w:r>
          </w:p>
        </w:tc>
        <w:tc>
          <w:tcPr>
            <w:tcW w:w="291" w:type="dxa"/>
            <w:tcBorders/>
            <w:shd w:fill="CCEEFF" w:val="clear"/>
            <w:vAlign w:val="center"/>
          </w:tcPr>
          <w:p>
            <w:pPr>
              <w:pStyle w:val="TableContents"/>
              <w:bidi w:val="0"/>
              <w:spacing w:before="0" w:after="283"/>
              <w:jc w:val="left"/>
              <w:rPr/>
            </w:pPr>
            <w:r>
              <w:rPr/>
              <w:t>%</w:t>
            </w:r>
          </w:p>
        </w:tc>
      </w:tr>
      <w:tr>
        <w:trPr/>
        <w:tc>
          <w:tcPr>
            <w:tcW w:w="2725" w:type="dxa"/>
            <w:tcBorders/>
            <w:shd w:fill="FFFFFF" w:val="clear"/>
            <w:vAlign w:val="center"/>
          </w:tcPr>
          <w:p>
            <w:pPr>
              <w:pStyle w:val="TableContents"/>
              <w:bidi w:val="0"/>
              <w:spacing w:before="0" w:after="283"/>
              <w:jc w:val="left"/>
              <w:rPr/>
            </w:pPr>
            <w:r>
              <w:rPr/>
              <w:t>Star Equity Fund, GP, LLC</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85,000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85,000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1.78</w:t>
            </w:r>
          </w:p>
        </w:tc>
        <w:tc>
          <w:tcPr>
            <w:tcW w:w="291" w:type="dxa"/>
            <w:tcBorders/>
            <w:shd w:fill="FFFFFF" w:val="clear"/>
            <w:vAlign w:val="center"/>
          </w:tcPr>
          <w:p>
            <w:pPr>
              <w:pStyle w:val="TableContents"/>
              <w:bidi w:val="0"/>
              <w:spacing w:before="0" w:after="283"/>
              <w:jc w:val="left"/>
              <w:rPr/>
            </w:pPr>
            <w:r>
              <w:rPr/>
              <w:t>%</w:t>
            </w:r>
          </w:p>
        </w:tc>
      </w:tr>
      <w:tr>
        <w:trPr/>
        <w:tc>
          <w:tcPr>
            <w:tcW w:w="2725" w:type="dxa"/>
            <w:tcBorders/>
            <w:shd w:fill="CCEEFF" w:val="clear"/>
            <w:vAlign w:val="center"/>
          </w:tcPr>
          <w:p>
            <w:pPr>
              <w:pStyle w:val="TableContents"/>
              <w:bidi w:val="0"/>
              <w:spacing w:before="0" w:after="283"/>
              <w:jc w:val="left"/>
              <w:rPr/>
            </w:pPr>
            <w:r>
              <w:rPr/>
              <w:t>Star Investment Management, LLC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1.78</w:t>
            </w:r>
          </w:p>
        </w:tc>
        <w:tc>
          <w:tcPr>
            <w:tcW w:w="291" w:type="dxa"/>
            <w:tcBorders/>
            <w:shd w:fill="CCEEFF" w:val="clear"/>
            <w:vAlign w:val="center"/>
          </w:tcPr>
          <w:p>
            <w:pPr>
              <w:pStyle w:val="TableContents"/>
              <w:bidi w:val="0"/>
              <w:spacing w:before="0" w:after="283"/>
              <w:jc w:val="left"/>
              <w:rPr/>
            </w:pPr>
            <w:r>
              <w:rPr/>
              <w:t>%</w:t>
            </w:r>
          </w:p>
        </w:tc>
      </w:tr>
      <w:tr>
        <w:trPr/>
        <w:tc>
          <w:tcPr>
            <w:tcW w:w="2725" w:type="dxa"/>
            <w:tcBorders/>
            <w:shd w:fill="FFFFFF" w:val="clear"/>
            <w:vAlign w:val="center"/>
          </w:tcPr>
          <w:p>
            <w:pPr>
              <w:pStyle w:val="TableContents"/>
              <w:bidi w:val="0"/>
              <w:spacing w:before="0" w:after="283"/>
              <w:jc w:val="left"/>
              <w:rPr/>
            </w:pPr>
            <w:r>
              <w:rPr/>
              <w:t>Star Value Investments, LLC</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85,000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85,000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1.78</w:t>
            </w:r>
          </w:p>
        </w:tc>
        <w:tc>
          <w:tcPr>
            <w:tcW w:w="291" w:type="dxa"/>
            <w:tcBorders/>
            <w:shd w:fill="FFFFFF" w:val="clear"/>
            <w:vAlign w:val="center"/>
          </w:tcPr>
          <w:p>
            <w:pPr>
              <w:pStyle w:val="TableContents"/>
              <w:bidi w:val="0"/>
              <w:spacing w:before="0" w:after="283"/>
              <w:jc w:val="left"/>
              <w:rPr/>
            </w:pPr>
            <w:r>
              <w:rPr/>
              <w:t>%</w:t>
            </w:r>
          </w:p>
        </w:tc>
      </w:tr>
      <w:tr>
        <w:trPr/>
        <w:tc>
          <w:tcPr>
            <w:tcW w:w="2725" w:type="dxa"/>
            <w:tcBorders/>
            <w:shd w:fill="CCEEFF" w:val="clear"/>
            <w:vAlign w:val="center"/>
          </w:tcPr>
          <w:p>
            <w:pPr>
              <w:pStyle w:val="TableContents"/>
              <w:bidi w:val="0"/>
              <w:spacing w:before="0" w:after="283"/>
              <w:jc w:val="left"/>
              <w:rPr/>
            </w:pPr>
            <w:r>
              <w:rPr/>
              <w:t>Jeffrey E. Eberwein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200,000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5.96</w:t>
            </w:r>
          </w:p>
        </w:tc>
        <w:tc>
          <w:tcPr>
            <w:tcW w:w="29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for Star Equity, Star Operating Companies, Star Equity Fund, Star Equity GP, Star Investment Management, Star Value Investments and Mr. Jeffrey E. Eberwein is 53 Forest Avenue, Suite 101, Old Greenwich, Connecticut 06870.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1"/>
      <w:bookmarkEnd w:id="24"/>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Policy Concerning Transactions with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Item 404 of SEC Regulation S-K, a related person transaction is any actual or proposed transaction, arrangement or relationship or series of similar transactions, arrangements or relationships, including those involving indebtedness not in the ordinary course of business, to which we or our subsidiaries were or are a party, or in which we or our subsidiaries were or are a participant, in which the amount involved exceeded or exceeds the lesser of $120,000 or one percent of the average of our total assets at year-end for the last two completed fiscal years and in which any of our directors, nominees for director, executive officers, beneficial owners of more than 5% of any class of our voting securities (a “significant shareholder”), or any member of the immediate family of any of the foregoing persons, had or will have a direct or indirect material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transactions between us and any of our Directors or Executives or with a third party in which one of our officers, directors or significant shareholders has an interest can present potential or actual conflicts of interest and create the appearance that our decisions are based on considerations other than the best interests of our Company and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 is charged with responsibility for reviewing, approving and overseeing any transaction between the Company and any related person (as defined in Item 404 of Regulation S-K), including the propriety and ethical implications of any such transactions, as reported or disclosed to the Committee by the independent auditors, employees, officers, members of the Board of Directors or otherwise, and to determine whether the terms of the transaction are not less favorable to us than could be obtained from an unaffiliated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transactions completed by us since January 1, 2025, in which the amount involved exceeded $120,000 and in which any related person has a direct or indirect material interest except that during 2025, we repaid $1,041,000 of subordinate notes and we incurred interest expense of $356,000 in respect of the subordinated notes held by Michael Taglich, Robert Taglich and certain of their affiliates. As of December 31, 2025, Michael Taglich and Robert Taglich held subordinated notes in the aggregate principal amount of $4,871,000 as a result of transactions entered into prior to January 2025. Of the $4,871,000, approximately $2,519,000 bears an annual rate of interest of 6%, $1,802,000 bears an annual rate of 7% and $550,000 bears an annual interest rate of 12%. Of the $4,871,000, approximately $2,519,000 can be converted at the option of the holder into our common stock at $15.00 per share and $1,802,000 can be converted at the option of the holder into our common stock at $9.30 per share. The remaining $550,000 is not convertible.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transactions currently proposed by us in which a related party has a direct or indirect financial interest in which the amount involved exceeds $120,000.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2"/>
      <w:bookmarkEnd w:id="25"/>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our Audit Committee charter, our Audit Committee pre-approved the engagement of our principal accounting firm CBIZ CPAs P,C, (“CBIZ CPAs”) and our predecessor principal accounting firm Marcum LLP (“Marcum”) for all audit and permissible non-audit services. The Audit Committee annually reviews the audit and permissible non-audit services performed by our principal accounting firm and reviews and approves the fees charged by our principal accounting firm. The Audit Committee considered the role of CBIZ CPAs in providing tax and audit services and other permissible non-audit services to us while it was serving as our auditor and concluded that the provision of such services, if any, was compatible with the maintenance of such firm’s independence in the conduct of its auditing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2025 and 2024, the aggregate fees which we paid to or were billed by CBIZ CPAs and Marcum for professional services were as follows:</w:t>
      </w:r>
    </w:p>
    <w:p>
      <w:pPr>
        <w:pStyle w:val="TextBody"/>
        <w:bidi w:val="0"/>
        <w:spacing w:before="0" w:after="0"/>
        <w:ind w:left="0" w:right="0" w:firstLine="720"/>
        <w:jc w:val="both"/>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1145"/>
        <w:gridCol w:w="90"/>
        <w:gridCol w:w="245"/>
        <w:gridCol w:w="1200"/>
        <w:gridCol w:w="90"/>
        <w:gridCol w:w="90"/>
        <w:gridCol w:w="245"/>
        <w:gridCol w:w="1200"/>
        <w:gridCol w:w="135"/>
      </w:tblGrid>
      <w:tr>
        <w:trPr/>
        <w:tc>
          <w:tcPr>
            <w:tcW w:w="11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2024</w:t>
            </w:r>
          </w:p>
        </w:tc>
        <w:tc>
          <w:tcPr>
            <w:tcW w:w="13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620,000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579,000</w:t>
            </w:r>
          </w:p>
        </w:tc>
        <w:tc>
          <w:tcPr>
            <w:tcW w:w="135"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position w:val="7"/>
                <w:sz w:val="16"/>
                <w:sz w:val="20"/>
              </w:rPr>
              <w:t>(2)</w:t>
            </w:r>
          </w:p>
        </w:tc>
        <w:tc>
          <w:tcPr>
            <w:tcW w:w="90" w:type="dxa"/>
            <w:tcBorders/>
            <w:shd w:fill="FFFFFF" w:val="clear"/>
            <w:vAlign w:val="center"/>
          </w:tcPr>
          <w:p>
            <w:pPr>
              <w:pStyle w:val="TableContents"/>
              <w:bidi w:val="0"/>
              <w:spacing w:before="0" w:after="283"/>
              <w:jc w:val="left"/>
              <w:rPr/>
            </w:pPr>
            <w:r>
              <w:rPr/>
              <w:t> </w:t>
            </w:r>
          </w:p>
        </w:tc>
        <w:tc>
          <w:tcPr>
            <w:tcW w:w="2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FFFFFF" w:val="clear"/>
            <w:tcMar>
              <w:bottom w:w="28" w:type="dxa"/>
            </w:tcMar>
            <w:vAlign w:val="center"/>
          </w:tcPr>
          <w:p>
            <w:pPr>
              <w:pStyle w:val="TableContents"/>
              <w:bidi w:val="0"/>
              <w:spacing w:before="0" w:after="283"/>
              <w:jc w:val="right"/>
              <w:rPr/>
            </w:pPr>
            <w:r>
              <w:rPr/>
              <w:t>2,000</w:t>
            </w:r>
          </w:p>
        </w:tc>
        <w:tc>
          <w:tcPr>
            <w:tcW w:w="135"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0"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0" w:type="dxa"/>
            <w:tcBorders>
              <w:bottom w:val="double" w:sz="10" w:space="0" w:color="000000"/>
            </w:tcBorders>
            <w:shd w:fill="CCEEFF" w:val="clear"/>
            <w:tcMar>
              <w:bottom w:w="28" w:type="dxa"/>
            </w:tcMar>
            <w:vAlign w:val="center"/>
          </w:tcPr>
          <w:p>
            <w:pPr>
              <w:pStyle w:val="TableContents"/>
              <w:bidi w:val="0"/>
              <w:spacing w:before="0" w:after="283"/>
              <w:jc w:val="right"/>
              <w:rPr/>
            </w:pPr>
            <w:r>
              <w:rPr/>
              <w:t>581,000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relate to professional services rendered in connection with the audit of the Company’s annual financial statements, quarter reviews of financial statements and audit services provided in connection with other statutory and regulatory filings.</w:t>
            </w:r>
          </w:p>
        </w:tc>
      </w:tr>
      <w:tr>
        <w:trPr/>
        <w:tc>
          <w:tcPr>
            <w:tcW w:w="257" w:type="dxa"/>
            <w:tcBorders/>
            <w:vAlign w:val="center"/>
          </w:tcPr>
          <w:p>
            <w:pPr>
              <w:pStyle w:val="TableContents"/>
              <w:bidi w:val="0"/>
              <w:spacing w:before="0" w:after="283"/>
              <w:jc w:val="left"/>
              <w:rPr/>
            </w:pPr>
            <w:r>
              <w:rPr/>
              <w:t> </w:t>
            </w:r>
          </w:p>
        </w:tc>
        <w:tc>
          <w:tcPr>
            <w:tcW w:w="9948" w:type="dxa"/>
            <w:tcBorders/>
            <w:vAlign w:val="center"/>
          </w:tcPr>
          <w:p>
            <w:pPr>
              <w:pStyle w:val="TableContents"/>
              <w:bidi w:val="0"/>
              <w:spacing w:before="0" w:after="283"/>
              <w:jc w:val="both"/>
              <w:rPr/>
            </w:pPr>
            <w:r>
              <w:rPr/>
              <w:t> </w:t>
            </w:r>
          </w:p>
        </w:tc>
      </w:tr>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fees - the aggregate fees billed for professional services rendered by the principal accountant for tax compliance, tax advice and tax planning.</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3"/>
      <w:bookmarkEnd w:id="26"/>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4"/>
      <w:bookmarkEnd w:id="27"/>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105"/>
        <w:gridCol w:w="260"/>
        <w:gridCol w:w="8840"/>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Consolidated Financial Statements of Air Industries Group for the Year ended December 31, 2025 and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59"/>
        <w:gridCol w:w="9841"/>
      </w:tblGrid>
      <w:tr>
        <w:trPr/>
        <w:tc>
          <w:tcPr>
            <w:tcW w:w="10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exhibits are included as part of this report. References to “the Company” in this Exhibit List mean Air Industries Group, a Nevada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35"/>
        <w:gridCol w:w="90"/>
        <w:gridCol w:w="8880"/>
      </w:tblGrid>
      <w:tr>
        <w:trPr/>
        <w:tc>
          <w:tcPr>
            <w:tcW w:w="1235" w:type="dxa"/>
            <w:tcBorders>
              <w:bottom w:val="single" w:sz="12" w:space="0" w:color="000000"/>
            </w:tcBorders>
            <w:vAlign w:val="center"/>
          </w:tcPr>
          <w:p>
            <w:pPr>
              <w:pStyle w:val="TableContents"/>
              <w:bidi w:val="0"/>
              <w:spacing w:before="0" w:after="283"/>
              <w:jc w:val="left"/>
              <w:rPr>
                <w:b/>
              </w:rPr>
            </w:pPr>
            <w:r>
              <w:rPr>
                <w:b/>
              </w:rPr>
              <w:t>Exhibit No.</w:t>
            </w:r>
          </w:p>
        </w:tc>
        <w:tc>
          <w:tcPr>
            <w:tcW w:w="90" w:type="dxa"/>
            <w:tcBorders/>
            <w:tcMar>
              <w:bottom w:w="0" w:type="dxa"/>
            </w:tcMar>
            <w:vAlign w:val="center"/>
          </w:tcPr>
          <w:p>
            <w:pPr>
              <w:pStyle w:val="TableContents"/>
              <w:bidi w:val="0"/>
              <w:spacing w:before="0" w:after="283"/>
              <w:jc w:val="left"/>
              <w:rPr/>
            </w:pPr>
            <w:r>
              <w:rPr/>
              <w:t> </w:t>
            </w:r>
          </w:p>
        </w:tc>
        <w:tc>
          <w:tcPr>
            <w:tcW w:w="8880"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235" w:type="dxa"/>
            <w:tcBorders/>
            <w:shd w:fill="CCEEFF" w:val="clear"/>
            <w:tcMar>
              <w:bottom w:w="0" w:type="dxa"/>
            </w:tcMar>
            <w:vAlign w:val="center"/>
          </w:tcPr>
          <w:p>
            <w:pPr>
              <w:pStyle w:val="TableContents"/>
              <w:bidi w:val="0"/>
              <w:spacing w:before="0" w:after="283"/>
              <w:jc w:val="left"/>
              <w:rPr/>
            </w:pPr>
            <w:r>
              <w:rPr/>
              <w:t>3.1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2">
              <w:r>
                <w:rPr>
                  <w:rStyle w:val="InternetLink"/>
                </w:rPr>
                <w:t>Articles of Incorporation of Air Industries Group (incorporated herein by reference to Exhibit 3.1 to the Company’s Current Report on Form 8-K filed August 30, 2013).</w:t>
              </w:r>
            </w:hyperlink>
          </w:p>
        </w:tc>
      </w:tr>
      <w:tr>
        <w:trPr/>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88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283"/>
              <w:jc w:val="left"/>
              <w:rPr/>
            </w:pPr>
            <w:r>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3">
              <w:r>
                <w:rPr>
                  <w:rStyle w:val="InternetLink"/>
                </w:rPr>
                <w:t>Certificate of Amendment increasing number of authorized shares of preferred stock and Series A Preferred Stock (incorporated herein by reference to Exhibit 3.3 to the Company’s Annual Report on Form 10-K for the year ended December 31, 2016 filed on April 19, 2017).</w:t>
              </w:r>
            </w:hyperlink>
          </w:p>
        </w:tc>
      </w:tr>
      <w:tr>
        <w:trPr/>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880" w:type="dxa"/>
            <w:tcBorders/>
            <w:shd w:fill="FFFFFF" w:val="clear"/>
            <w:tcMar>
              <w:bottom w:w="0" w:type="dxa"/>
            </w:tcMar>
            <w:vAlign w:val="center"/>
          </w:tcPr>
          <w:p>
            <w:pPr>
              <w:pStyle w:val="TableContents"/>
              <w:bidi w:val="0"/>
              <w:spacing w:before="0" w:after="283"/>
              <w:jc w:val="both"/>
              <w:rPr/>
            </w:pPr>
            <w:r>
              <w:rPr/>
              <w:t> </w:t>
            </w:r>
          </w:p>
        </w:tc>
      </w:tr>
      <w:tr>
        <w:trPr/>
        <w:tc>
          <w:tcPr>
            <w:tcW w:w="1235" w:type="dxa"/>
            <w:tcBorders/>
            <w:shd w:fill="CCEEFF" w:val="clear"/>
            <w:tcMar>
              <w:bottom w:w="0" w:type="dxa"/>
            </w:tcMar>
            <w:vAlign w:val="center"/>
          </w:tcPr>
          <w:p>
            <w:pPr>
              <w:pStyle w:val="TableContents"/>
              <w:bidi w:val="0"/>
              <w:spacing w:before="0" w:after="283"/>
              <w:jc w:val="left"/>
              <w:rPr/>
            </w:pPr>
            <w:r>
              <w:rPr/>
              <w:t>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4">
              <w:r>
                <w:rPr>
                  <w:rStyle w:val="InternetLink"/>
                </w:rPr>
                <w:t>Amended and Restated By-Laws of the Company (incorporated herein by reference to Exhibit 3.2 to the Company’s Current Report on Form 8-K filed on July 10, 2025).</w:t>
              </w:r>
            </w:hyperlink>
          </w:p>
        </w:tc>
      </w:tr>
      <w:tr>
        <w:trPr/>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88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283"/>
              <w:jc w:val="left"/>
              <w:rPr/>
            </w:pPr>
            <w:r>
              <w:rPr/>
              <w:t>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5">
              <w:r>
                <w:rPr>
                  <w:rStyle w:val="InternetLink"/>
                </w:rPr>
                <w:t>Certificate of Amendment increasing number of authorized shares of common stock to 60,000,000 (incorporated by reference to the Company’s Quarterly Report on Form 10-Q for the period ended June 30, 2019 filed on August 8, 2019)</w:t>
              </w:r>
            </w:hyperlink>
          </w:p>
        </w:tc>
      </w:tr>
      <w:tr>
        <w:trPr/>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880" w:type="dxa"/>
            <w:tcBorders/>
            <w:shd w:fill="FFFFFF" w:val="clear"/>
            <w:tcMar>
              <w:bottom w:w="0" w:type="dxa"/>
            </w:tcMar>
            <w:vAlign w:val="center"/>
          </w:tcPr>
          <w:p>
            <w:pPr>
              <w:pStyle w:val="TableContents"/>
              <w:bidi w:val="0"/>
              <w:spacing w:before="0" w:after="283"/>
              <w:jc w:val="both"/>
              <w:rPr/>
            </w:pPr>
            <w:r>
              <w:rPr/>
              <w:t> </w:t>
            </w:r>
          </w:p>
        </w:tc>
      </w:tr>
      <w:tr>
        <w:trPr/>
        <w:tc>
          <w:tcPr>
            <w:tcW w:w="1235" w:type="dxa"/>
            <w:tcBorders/>
            <w:shd w:fill="CCEEFF" w:val="clear"/>
            <w:tcMar>
              <w:bottom w:w="0" w:type="dxa"/>
            </w:tcMar>
            <w:vAlign w:val="center"/>
          </w:tcPr>
          <w:p>
            <w:pPr>
              <w:pStyle w:val="TableContents"/>
              <w:bidi w:val="0"/>
              <w:spacing w:before="0" w:after="283"/>
              <w:jc w:val="left"/>
              <w:rPr/>
            </w:pPr>
            <w:r>
              <w:rPr/>
              <w:t>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6">
              <w:r>
                <w:rPr>
                  <w:rStyle w:val="InternetLink"/>
                </w:rPr>
                <w:t>Certificate of Change filed with the Secretary of State of Nevada to effectuate reverse stock split (incorporated herein by reference to Exhibit 3.01 to the Company’s Report on Form 8-K filed October 18, 2022).</w:t>
              </w:r>
            </w:hyperlink>
          </w:p>
        </w:tc>
      </w:tr>
      <w:tr>
        <w:trPr/>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88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283"/>
              <w:jc w:val="left"/>
              <w:rPr/>
            </w:pPr>
            <w:r>
              <w:rPr/>
              <w:t>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7">
              <w:r>
                <w:rPr>
                  <w:rStyle w:val="InternetLink"/>
                </w:rPr>
                <w:t>Certificate of Amendment increasing number of authorized shares of common stock to 20,000,000 (incorporated by reference to the Company’s Current Report on Form 8-K filed on July 10, 2025)</w:t>
              </w:r>
            </w:hyperlink>
            <w:r>
              <w:rPr/>
              <w:t>.</w:t>
            </w:r>
          </w:p>
        </w:tc>
      </w:tr>
      <w:tr>
        <w:trPr/>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88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283"/>
              <w:jc w:val="left"/>
              <w:rPr/>
            </w:pPr>
            <w:r>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8">
              <w:r>
                <w:rPr>
                  <w:rStyle w:val="InternetLink"/>
                </w:rPr>
                <w:t>Description of the Company’s securities registered pursuant to Section 12 of the Exchange Act (incorporated by reference to Exhibit 4.1 to the Company’s Annual Report on Form 10-K for the year ended December 31, 2019 filed on March 27, 2020).</w:t>
              </w:r>
            </w:hyperlink>
          </w:p>
        </w:tc>
      </w:tr>
      <w:tr>
        <w:trPr/>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88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283"/>
              <w:jc w:val="left"/>
              <w:rPr/>
            </w:pPr>
            <w:r>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9">
              <w:r>
                <w:rPr>
                  <w:rStyle w:val="InternetLink"/>
                </w:rPr>
                <w:t>Loan and Security Agreement dated as of December 31, 2019 with Sterling National Bank (incorporated herein by reference to Exhibit 10.1 to the Company’s Current Report on Form 8-K filed January 6, 2020)</w:t>
              </w:r>
            </w:hyperlink>
          </w:p>
        </w:tc>
      </w:tr>
      <w:tr>
        <w:trPr/>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88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283"/>
              <w:jc w:val="left"/>
              <w:rPr/>
            </w:pPr>
            <w:r>
              <w:rPr/>
              <w:t>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10">
              <w:r>
                <w:rPr>
                  <w:rStyle w:val="InternetLink"/>
                </w:rPr>
                <w:t>Guaranty Agreement dated as of December 31, 2019 with Sterling National Bank (incorporated herein by reference to Exhibit 10.2 to the Company’s Current Report on Form 8-K filed January 6, 2020)</w:t>
              </w:r>
            </w:hyperlink>
          </w:p>
        </w:tc>
      </w:tr>
      <w:tr>
        <w:trPr/>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88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283"/>
              <w:jc w:val="left"/>
              <w:rPr/>
            </w:pPr>
            <w:r>
              <w:rPr/>
              <w:t>10.3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11">
              <w:r>
                <w:rPr>
                  <w:rStyle w:val="InternetLink"/>
                </w:rPr>
                <w:t>Pledge Agreement dated as of December 31, 2019 with Sterling National Bank (incorporated herein by reference to Exhibit 10.3 to the Company’s Current Report on Form 8-K filed January 6, 2020)</w:t>
              </w:r>
            </w:hyperlink>
          </w:p>
        </w:tc>
      </w:tr>
      <w:tr>
        <w:trPr/>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88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283"/>
              <w:jc w:val="left"/>
              <w:rPr/>
            </w:pPr>
            <w:r>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12">
              <w:r>
                <w:rPr>
                  <w:rStyle w:val="InternetLink"/>
                </w:rPr>
                <w:t>First Amendment to Loan and Security Agreement with Sterling National Bank (incorporated herein by reference to Exhibit 10.4 to the Company’s Quarterly Report on Form 10-Q filed November 9, 2020)</w:t>
              </w:r>
            </w:hyperlink>
          </w:p>
        </w:tc>
      </w:tr>
      <w:tr>
        <w:trPr/>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88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283"/>
              <w:jc w:val="left"/>
              <w:rPr/>
            </w:pPr>
            <w:r>
              <w:rPr/>
              <w:t>10.5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13">
              <w:r>
                <w:rPr>
                  <w:rStyle w:val="InternetLink"/>
                </w:rPr>
                <w:t>Second Amendment to Loan and Security Agreement with Sterling National Bank (incorporated herein by reference to Exhibit 10.1 to the Company’s Quarterly Report on Form 10-Q filed August 5, 2021)</w:t>
              </w:r>
            </w:hyperlink>
          </w:p>
        </w:tc>
      </w:tr>
      <w:tr>
        <w:trPr/>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880" w:type="dxa"/>
            <w:tcBorders/>
            <w:shd w:fill="FFFFFF" w:val="clear"/>
            <w:tcMar>
              <w:bottom w:w="0" w:type="dxa"/>
            </w:tcMar>
            <w:vAlign w:val="center"/>
          </w:tcPr>
          <w:p>
            <w:pPr>
              <w:pStyle w:val="TableContents"/>
              <w:bidi w:val="0"/>
              <w:spacing w:before="0" w:after="283"/>
              <w:jc w:val="left"/>
              <w:rPr/>
            </w:pPr>
            <w:r>
              <w:rPr/>
              <w:t> </w:t>
            </w:r>
          </w:p>
        </w:tc>
      </w:tr>
      <w:tr>
        <w:trPr/>
        <w:tc>
          <w:tcPr>
            <w:tcW w:w="1235" w:type="dxa"/>
            <w:tcBorders/>
            <w:shd w:fill="CCEEFF" w:val="clear"/>
            <w:tcMar>
              <w:bottom w:w="0" w:type="dxa"/>
            </w:tcMar>
            <w:vAlign w:val="center"/>
          </w:tcPr>
          <w:p>
            <w:pPr>
              <w:pStyle w:val="TableContents"/>
              <w:bidi w:val="0"/>
              <w:spacing w:before="0" w:after="283"/>
              <w:jc w:val="left"/>
              <w:rPr/>
            </w:pPr>
            <w:r>
              <w:rPr/>
              <w:t>10.6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80" w:type="dxa"/>
            <w:tcBorders/>
            <w:shd w:fill="CCEEFF" w:val="clear"/>
            <w:tcMar>
              <w:bottom w:w="0" w:type="dxa"/>
            </w:tcMar>
            <w:vAlign w:val="center"/>
          </w:tcPr>
          <w:p>
            <w:pPr>
              <w:pStyle w:val="TableContents"/>
              <w:bidi w:val="0"/>
              <w:spacing w:before="0" w:after="283"/>
              <w:jc w:val="both"/>
              <w:rPr/>
            </w:pPr>
            <w:hyperlink r:id="rId14">
              <w:r>
                <w:rPr>
                  <w:rStyle w:val="InternetLink"/>
                </w:rPr>
                <w:t>Third Amendment to Loan and Security Agreement with Sterling National Bank (incorporated herein by reference to Exhibit 10.1 to the Company’s Current Report on Form 8-K filed December 8, 2021)</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5"/>
        <w:gridCol w:w="90"/>
        <w:gridCol w:w="9470"/>
      </w:tblGrid>
      <w:tr>
        <w:trPr/>
        <w:tc>
          <w:tcPr>
            <w:tcW w:w="645" w:type="dxa"/>
            <w:tcBorders/>
            <w:shd w:fill="CCEEFF" w:val="clear"/>
            <w:vAlign w:val="center"/>
          </w:tcPr>
          <w:p>
            <w:pPr>
              <w:pStyle w:val="TableContents"/>
              <w:bidi w:val="0"/>
              <w:spacing w:before="0" w:after="283"/>
              <w:jc w:val="left"/>
              <w:rPr/>
            </w:pPr>
            <w:r>
              <w:rPr/>
              <w:t>10.7</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15">
              <w:r>
                <w:rPr>
                  <w:rStyle w:val="InternetLink"/>
                </w:rPr>
                <w:t>Fourth Amendment to Loan and Security Agreement with Sterling National Bank (incorporated herein by reference to Exhibit 10.1 to the Company’s Current Report on Form 8-K filed May 18, 2022).</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10.8</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16">
              <w:r>
                <w:rPr>
                  <w:rStyle w:val="InternetLink"/>
                </w:rPr>
                <w:t>Fifth Amendment to Loan and Security Agreement with Sterling National Bank (incorporated herein by reference to Exhibit 99.1 to the Company’s Current Report on Form 8-K filed August 10, 2024).</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10.9</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17">
              <w:r>
                <w:rPr>
                  <w:rStyle w:val="InternetLink"/>
                </w:rPr>
                <w:t>Sixth Amendment to Loan and Security Agreement with Sterling National Bank (incorporated herein by reference to Exhibit 99.1 to the Company’s Current Report on Form 8-K filed November 27, 2024).</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10.10</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18">
              <w:r>
                <w:rPr>
                  <w:rStyle w:val="InternetLink"/>
                </w:rPr>
                <w:t>Waiver and Seventh Amendment to Loan and Security Agreement with Webster Bank, National Association successor to Sterling National Bank (incorporated herein by reference to Exhibit 10.1 to the Company’s Current Report on Form 8-K filed June 3, 2025).</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10.11</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19">
              <w:r>
                <w:rPr>
                  <w:rStyle w:val="InternetLink"/>
                </w:rPr>
                <w:t>Eighth Amendment to Loan and Security Agreement with Webster Bank, National Association successor to Sterling National Bank (incorporated herein by reference to Exhibit 10.1 to the Company’s Current Report on Form 8-K filed February 3, 2025).</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10.12</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20">
              <w:r>
                <w:rPr>
                  <w:rStyle w:val="InternetLink"/>
                </w:rPr>
                <w:t>Ninth Amendment to Loan and Security Agreement with Webster Bank, National Association successor to Sterling National Bank (incorporated herein by reference to Exhibit 10.1 to the Company’s Current Report on Form 8-K filed September 15, 2025).</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10.13</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21">
              <w:r>
                <w:rPr>
                  <w:rStyle w:val="InternetLink"/>
                </w:rPr>
                <w:t>Tenth Amendment to Loan and Security Agreement with Webster Bank, National Association successor to Sterling National Bank (incorporated herein by reference to Exhibit 10.1 to the Company’s Current Report on Form 8-K filed December 16, 2025).</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10.14</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22">
              <w:r>
                <w:rPr>
                  <w:rStyle w:val="InternetLink"/>
                </w:rPr>
                <w:t>Eleventh Amendment to Loan and Security Agreement with Webster Bank, National Association successor to Sterling National Bank (incorporated herein by reference to Exhibit 10.1 to the Company’s Current Report on Form 8-K filed February 27, 2026).</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10.15*</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left"/>
              <w:rPr/>
            </w:pPr>
            <w:hyperlink w:anchor="ea028229801ex10-15.htm">
              <w:r>
                <w:rPr>
                  <w:rStyle w:val="InternetLink"/>
                </w:rPr>
                <w:t>Form of Indemnification Agreement between the Company and each Director and Officer.</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10.16*</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left"/>
              <w:rPr/>
            </w:pPr>
            <w:hyperlink w:anchor="ea028229801ex10-16.htm">
              <w:r>
                <w:rPr>
                  <w:rStyle w:val="InternetLink"/>
                </w:rPr>
                <w:t>Form of Restricted Stock Unit Award Agreement under 2022 Equity Incentive Plan As Amended and Restated as of May 23, 2024.  </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10.17*</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left"/>
              <w:rPr/>
            </w:pPr>
            <w:hyperlink w:anchor="ea028229801ex10-17.htm">
              <w:r>
                <w:rPr>
                  <w:rStyle w:val="InternetLink"/>
                </w:rPr>
                <w:t>Form of Per Diem Expense Reimbursement and Compensation Agreement between the Company and each Director.</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10.18</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23">
              <w:r>
                <w:rPr>
                  <w:rStyle w:val="InternetLink"/>
                </w:rPr>
                <w:t xml:space="preserve">At The Market Offering Agreement dated December 13, 2014, By and between the Company and Craig -Hallum Capital Group LLC (incorporated herein by reference to Exhibit 1.2 to the Company’s Registration Statement on Form S-3 filed December 13, 2025). </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10.19</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24">
              <w:r>
                <w:rPr>
                  <w:rStyle w:val="InternetLink"/>
                </w:rPr>
                <w:t xml:space="preserve">Separation and Release Agreement date March 13, 2026, between the Company and Mr. Lou Melluzzo (incorporated herein by reference to Exhibit 10.1 to the Company’s Current Report on Form 8-K filed March 16, 2026). </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10.20</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25">
              <w:r>
                <w:rPr>
                  <w:rStyle w:val="InternetLink"/>
                </w:rPr>
                <w:t>2016 Equity Incentive Plan (incorporated herein by reference to Exhibit 10.9 to the Company’s Quarterly Report on Form 10-Q for the quarterly period ended September 30, 2016 filed on November 14, 2016).</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10.21</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26">
              <w:r>
                <w:rPr>
                  <w:rStyle w:val="InternetLink"/>
                </w:rPr>
                <w:t>2017 Equity Incentive Plan (incorporated herein by reference to Exhibit 10.79 to the Company’s Registration Statement on Form S-1 (Registration No. 333-219490) filed July 26, 2017 and declared effective August 4, 2017).</w:t>
              </w:r>
            </w:hyperlink>
          </w:p>
        </w:tc>
      </w:tr>
      <w:tr>
        <w:trPr/>
        <w:tc>
          <w:tcPr>
            <w:tcW w:w="6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470" w:type="dxa"/>
            <w:tcBorders/>
            <w:shd w:fill="FFFFFF" w:val="clear"/>
            <w:vAlign w:val="center"/>
          </w:tcPr>
          <w:p>
            <w:pPr>
              <w:pStyle w:val="TableContents"/>
              <w:bidi w:val="0"/>
              <w:spacing w:before="0" w:after="283"/>
              <w:jc w:val="left"/>
              <w:rPr/>
            </w:pPr>
            <w:r>
              <w:rPr/>
              <w:t> </w:t>
            </w:r>
          </w:p>
        </w:tc>
      </w:tr>
      <w:tr>
        <w:trPr/>
        <w:tc>
          <w:tcPr>
            <w:tcW w:w="645" w:type="dxa"/>
            <w:tcBorders/>
            <w:shd w:fill="CCEEFF" w:val="clear"/>
            <w:vAlign w:val="center"/>
          </w:tcPr>
          <w:p>
            <w:pPr>
              <w:pStyle w:val="TableContents"/>
              <w:bidi w:val="0"/>
              <w:spacing w:before="0" w:after="283"/>
              <w:jc w:val="left"/>
              <w:rPr/>
            </w:pPr>
            <w:r>
              <w:rPr/>
              <w:t>10.22</w:t>
            </w:r>
          </w:p>
        </w:tc>
        <w:tc>
          <w:tcPr>
            <w:tcW w:w="90" w:type="dxa"/>
            <w:tcBorders/>
            <w:shd w:fill="CCEEFF" w:val="clear"/>
            <w:vAlign w:val="center"/>
          </w:tcPr>
          <w:p>
            <w:pPr>
              <w:pStyle w:val="TableContents"/>
              <w:bidi w:val="0"/>
              <w:spacing w:before="0" w:after="283"/>
              <w:jc w:val="left"/>
              <w:rPr/>
            </w:pPr>
            <w:r>
              <w:rPr/>
              <w:t> </w:t>
            </w:r>
          </w:p>
        </w:tc>
        <w:tc>
          <w:tcPr>
            <w:tcW w:w="9470" w:type="dxa"/>
            <w:tcBorders/>
            <w:shd w:fill="CCEEFF" w:val="clear"/>
            <w:vAlign w:val="center"/>
          </w:tcPr>
          <w:p>
            <w:pPr>
              <w:pStyle w:val="TableContents"/>
              <w:bidi w:val="0"/>
              <w:spacing w:before="0" w:after="283"/>
              <w:jc w:val="both"/>
              <w:rPr/>
            </w:pPr>
            <w:hyperlink r:id="rId27">
              <w:r>
                <w:rPr>
                  <w:rStyle w:val="InternetLink"/>
                </w:rPr>
                <w:t>2022 Equity Incentive Plan As Amended and Restated as of May 23, 2024 (incorporated herein by reference to Appendix A to the Company’s Proxy Statement on Schedule 14A filed August 4, 2024).</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1"/>
        <w:gridCol w:w="90"/>
        <w:gridCol w:w="9394"/>
      </w:tblGrid>
      <w:tr>
        <w:trPr/>
        <w:tc>
          <w:tcPr>
            <w:tcW w:w="721" w:type="dxa"/>
            <w:tcBorders/>
            <w:shd w:fill="CCEEFF" w:val="clear"/>
            <w:vAlign w:val="center"/>
          </w:tcPr>
          <w:p>
            <w:pPr>
              <w:pStyle w:val="TableContents"/>
              <w:bidi w:val="0"/>
              <w:spacing w:before="0" w:after="283"/>
              <w:jc w:val="left"/>
              <w:rPr/>
            </w:pPr>
            <w:r>
              <w:rPr/>
              <w:t>14.1</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both"/>
              <w:rPr/>
            </w:pPr>
            <w:hyperlink r:id="rId28">
              <w:r>
                <w:rPr>
                  <w:rStyle w:val="InternetLink"/>
                </w:rPr>
                <w:t>Code of Ethics (incorporated herein by reference to Exhibit 14.1 to the Company’s Annual Report on Form 10-K/A (Amendment No. 2) for the year ended December 31, 2017 filed on April 30, 2018.</w:t>
              </w:r>
            </w:hyperlink>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19.1</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both"/>
              <w:rPr/>
            </w:pPr>
            <w:hyperlink r:id="rId29">
              <w:r>
                <w:rPr>
                  <w:rStyle w:val="InternetLink"/>
                </w:rPr>
                <w:t>Insider Trading Policies and Procedures (incorporated herein by reference to Exhibit 19.1 to the Company’s Annual Report of Form 10K for the year ended December 31, 2024 filed on April 15, 2025).</w:t>
              </w:r>
            </w:hyperlink>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21.1</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both"/>
              <w:rPr/>
            </w:pPr>
            <w:hyperlink r:id="rId30">
              <w:r>
                <w:rPr>
                  <w:rStyle w:val="InternetLink"/>
                </w:rPr>
                <w:t>Subsidiaries (incorporated herein by reference to Exhibit 21.1 to the Company’s Annual Report on Form 10-K for the year ended December 31, 2018 filed on April 1, 2019.</w:t>
              </w:r>
            </w:hyperlink>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23.1*</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0"/>
              <w:ind w:left="0" w:right="0" w:hanging="0"/>
              <w:jc w:val="left"/>
              <w:rPr/>
            </w:pPr>
            <w:hyperlink w:anchor="ea028229801ex23-1.htm">
              <w:r>
                <w:rPr>
                  <w:rStyle w:val="InternetLink"/>
                  <w:rFonts w:ascii="Times New Roman;Times;Serif" w:hAnsi="Times New Roman;Times;Serif"/>
                  <w:b w:val="false"/>
                  <w:i w:val="false"/>
                  <w:caps w:val="false"/>
                  <w:smallCaps w:val="false"/>
                  <w:sz w:val="20"/>
                </w:rPr>
                <w:t>Consent of CBIZ CPAs P.C.</w:t>
              </w:r>
            </w:hyperlink>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23.2*</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left"/>
              <w:rPr/>
            </w:pPr>
            <w:hyperlink w:anchor="ea028229801ex23-2.htm">
              <w:r>
                <w:rPr>
                  <w:rStyle w:val="InternetLink"/>
                </w:rPr>
                <w:t>Consent of Marcum LLP</w:t>
              </w:r>
            </w:hyperlink>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31.1*</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left"/>
              <w:rPr/>
            </w:pPr>
            <w:hyperlink w:anchor="ea028229801ex31-1.htm">
              <w:r>
                <w:rPr>
                  <w:rStyle w:val="InternetLink"/>
                </w:rPr>
                <w:t>Certification of principal executive officer pursuant to Rule 13a-14 or Rule 15d-14 of Securities Exchange Act of 1934.</w:t>
              </w:r>
            </w:hyperlink>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31.2*</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left"/>
              <w:rPr/>
            </w:pPr>
            <w:hyperlink w:anchor="ea028229801ex31-2.htm">
              <w:r>
                <w:rPr>
                  <w:rStyle w:val="InternetLink"/>
                </w:rPr>
                <w:t>Certification of principal financial officer pursuant to Rule 13a-14 or Rule 15d-14 of the Exchange Act of 1934.</w:t>
              </w:r>
            </w:hyperlink>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32.1**</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left"/>
              <w:rPr/>
            </w:pPr>
            <w:hyperlink w:anchor="ea028229801ex32-1.htm">
              <w:r>
                <w:rPr>
                  <w:rStyle w:val="InternetLink"/>
                </w:rPr>
                <w:t>Certification of principal executive officer pursuant to Section 906 of Sarbanes-Oxley Act of 2002 (18 U.S.C. Section 1350).</w:t>
              </w:r>
            </w:hyperlink>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32.2**</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left"/>
              <w:rPr/>
            </w:pPr>
            <w:hyperlink w:anchor="ea028229801ex32-2.htm">
              <w:r>
                <w:rPr>
                  <w:rStyle w:val="InternetLink"/>
                </w:rPr>
                <w:t>Certification of principal financial officer pursuant to Section 906 of Sarbanes-Oxley Act of 2002 (18 U.S.C. Section 1350).</w:t>
              </w:r>
            </w:hyperlink>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97.1</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both"/>
              <w:rPr/>
            </w:pPr>
            <w:hyperlink r:id="rId31">
              <w:r>
                <w:rPr>
                  <w:rStyle w:val="InternetLink"/>
                </w:rPr>
                <w:t>Policy related to Recovery of Erroneously Awarded Compensation (incorporated herein by reference to Exhibit 97.1 to the Company’s Annual Report on Form 10-K for the year ended December 31, 2024 filed on April 15, 2025).</w:t>
              </w:r>
            </w:hyperlink>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101.INS</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left"/>
              <w:rPr/>
            </w:pPr>
            <w:r>
              <w:rPr/>
              <w:t>Inline XBRL Instance Document.</w:t>
            </w:r>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101.SCH</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left"/>
              <w:rPr/>
            </w:pPr>
            <w:r>
              <w:rPr/>
              <w:t>Inline XBRL Taxonomy Extension Schema Document.</w:t>
            </w:r>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101.CAL</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left"/>
              <w:rPr/>
            </w:pPr>
            <w:r>
              <w:rPr/>
              <w:t>Inline XBRL Taxonomy Extension Calculation Linkbase Document.</w:t>
            </w:r>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101.DEF</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left"/>
              <w:rPr/>
            </w:pPr>
            <w:r>
              <w:rPr/>
              <w:t>Inline XBRL Taxonomy Extension Definition Linkbase Document.</w:t>
            </w:r>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101.LAB</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left"/>
              <w:rPr/>
            </w:pPr>
            <w:r>
              <w:rPr/>
              <w:t>Inline XBRL Taxonomy Extension Label Linkbase Document.</w:t>
            </w:r>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101.PRE</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left"/>
              <w:rPr/>
            </w:pPr>
            <w:r>
              <w:rPr/>
              <w:t>Inline XBRL Taxonomy Extension Presentation Linkbase Document.</w:t>
            </w:r>
          </w:p>
        </w:tc>
      </w:tr>
      <w:tr>
        <w:trPr/>
        <w:tc>
          <w:tcPr>
            <w:tcW w:w="72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94"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pPr>
            <w:r>
              <w:rPr/>
              <w:t>104</w:t>
            </w:r>
          </w:p>
        </w:tc>
        <w:tc>
          <w:tcPr>
            <w:tcW w:w="90" w:type="dxa"/>
            <w:tcBorders/>
            <w:shd w:fill="CCEEFF" w:val="clear"/>
            <w:vAlign w:val="center"/>
          </w:tcPr>
          <w:p>
            <w:pPr>
              <w:pStyle w:val="TableContents"/>
              <w:bidi w:val="0"/>
              <w:spacing w:before="0" w:after="283"/>
              <w:jc w:val="left"/>
              <w:rPr/>
            </w:pPr>
            <w:r>
              <w:rPr/>
              <w:t> </w:t>
            </w:r>
          </w:p>
        </w:tc>
        <w:tc>
          <w:tcPr>
            <w:tcW w:w="9394" w:type="dxa"/>
            <w:tcBorders/>
            <w:shd w:fill="CCEEFF" w:val="cle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27, 2026</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05"/>
        <w:gridCol w:w="350"/>
        <w:gridCol w:w="3755"/>
      </w:tblGrid>
      <w:tr>
        <w:trPr/>
        <w:tc>
          <w:tcPr>
            <w:tcW w:w="105" w:type="dxa"/>
            <w:tcBorders/>
            <w:vAlign w:val="center"/>
          </w:tcPr>
          <w:p>
            <w:pPr>
              <w:pStyle w:val="TableContents"/>
              <w:bidi w:val="0"/>
              <w:spacing w:before="0" w:after="283"/>
              <w:jc w:val="left"/>
              <w:rPr/>
            </w:pPr>
            <w:r>
              <w:rPr/>
              <w:t> </w:t>
            </w:r>
          </w:p>
        </w:tc>
        <w:tc>
          <w:tcPr>
            <w:tcW w:w="41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AIR INDUSTRIES GROUP</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Glassman</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Scott Glassman</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Acting Chief Executive Officer and President</w:t>
              <w:br/>
              <w:t>(principal executive officer)</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Brian Drisgula</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Drisgula</w:t>
              <w:br/>
              <w:t>Vice President of Finance</w:t>
              <w:br/>
              <w:t>(principal financial and accounting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on March 27, 2026 in the capacities indicated.</w:t>
      </w:r>
    </w:p>
    <w:p>
      <w:pPr>
        <w:pStyle w:val="TextBody"/>
        <w:bidi w:val="0"/>
        <w:spacing w:before="0" w:after="0"/>
        <w:ind w:left="0" w:right="0" w:firstLine="720"/>
        <w:jc w:val="both"/>
        <w:rPr>
          <w:caps w:val="false"/>
          <w:smallCaps w:val="false"/>
        </w:rPr>
      </w:pPr>
      <w:r>
        <w:rPr>
          <w:caps w:val="false"/>
          <w:smallCaps w:val="false"/>
        </w:rPr>
        <w:t> </w:t>
      </w:r>
    </w:p>
    <w:tbl>
      <w:tblPr>
        <w:tblW w:w="5785" w:type="dxa"/>
        <w:jc w:val="left"/>
        <w:tblInd w:w="0" w:type="dxa"/>
        <w:tblLayout w:type="fixed"/>
        <w:tblCellMar>
          <w:top w:w="0" w:type="dxa"/>
          <w:left w:w="0" w:type="dxa"/>
          <w:bottom w:w="28" w:type="dxa"/>
          <w:right w:w="0" w:type="dxa"/>
        </w:tblCellMar>
      </w:tblPr>
      <w:tblGrid>
        <w:gridCol w:w="1880"/>
        <w:gridCol w:w="90"/>
        <w:gridCol w:w="3815"/>
      </w:tblGrid>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90" w:type="dxa"/>
            <w:tcBorders/>
            <w:tcMar>
              <w:bottom w:w="0" w:type="dxa"/>
            </w:tcMar>
            <w:vAlign w:val="center"/>
          </w:tcPr>
          <w:p>
            <w:pPr>
              <w:pStyle w:val="TableContents"/>
              <w:bidi w:val="0"/>
              <w:spacing w:before="0" w:after="283"/>
              <w:jc w:val="left"/>
              <w:rPr/>
            </w:pPr>
            <w:r>
              <w:rPr/>
              <w:t> </w:t>
            </w:r>
          </w:p>
        </w:tc>
        <w:tc>
          <w:tcPr>
            <w:tcW w:w="38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Capacity</w:t>
            </w:r>
          </w:p>
        </w:tc>
      </w:tr>
      <w:tr>
        <w:trPr/>
        <w:tc>
          <w:tcPr>
            <w:tcW w:w="18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Glassman</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rFonts w:ascii="Times New Roman;Times;Serif" w:hAnsi="Times New Roman;Times;Serif"/>
                <w:sz w:val="20"/>
              </w:rPr>
              <w:t>Acting Chief Executive Officer and President</w:t>
            </w:r>
            <w:r>
              <w:rPr/>
              <w:t xml:space="preserve"> </w:t>
            </w:r>
          </w:p>
        </w:tc>
      </w:tr>
      <w:tr>
        <w:trPr/>
        <w:tc>
          <w:tcPr>
            <w:tcW w:w="1880" w:type="dxa"/>
            <w:tcBorders/>
            <w:tcMar>
              <w:bottom w:w="0" w:type="dxa"/>
            </w:tcMar>
            <w:vAlign w:val="center"/>
          </w:tcPr>
          <w:p>
            <w:pPr>
              <w:pStyle w:val="TableContents"/>
              <w:bidi w:val="0"/>
              <w:spacing w:before="0" w:after="283"/>
              <w:jc w:val="left"/>
              <w:rPr/>
            </w:pPr>
            <w:r>
              <w:rPr/>
              <w:t>Scott Glassman</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8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Brian Drisgula</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of Finance</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Drisgula</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8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N. Taglich</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N. Taglich</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D. Rettaliata</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D. Rettaliata</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F. Taglich</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F. Taglich</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J. Buonanno</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J. Buonanno</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Brand</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Brand</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r>
        <w:trPr/>
        <w:tc>
          <w:tcPr>
            <w:tcW w:w="18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Porcelain</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Porcelain</w:t>
            </w:r>
          </w:p>
        </w:tc>
        <w:tc>
          <w:tcPr>
            <w:tcW w:w="90" w:type="dxa"/>
            <w:tcBorders/>
            <w:tcMar>
              <w:bottom w:w="0" w:type="dxa"/>
            </w:tcMar>
            <w:vAlign w:val="center"/>
          </w:tcPr>
          <w:p>
            <w:pPr>
              <w:pStyle w:val="TableContents"/>
              <w:bidi w:val="0"/>
              <w:spacing w:before="0" w:after="283"/>
              <w:jc w:val="left"/>
              <w:rPr/>
            </w:pPr>
            <w:r>
              <w:rPr/>
              <w:t> </w:t>
            </w:r>
          </w:p>
        </w:tc>
        <w:tc>
          <w:tcPr>
            <w:tcW w:w="381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25"/>
      <w:bookmarkEnd w:id="28"/>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5"/>
        <w:gridCol w:w="90"/>
        <w:gridCol w:w="410"/>
      </w:tblGrid>
      <w:tr>
        <w:trPr/>
        <w:tc>
          <w:tcPr>
            <w:tcW w:w="9705" w:type="dxa"/>
            <w:tcBorders/>
            <w:shd w:fill="CCEEFF" w:val="clear"/>
            <w:vAlign w:val="center"/>
          </w:tcPr>
          <w:p>
            <w:pPr>
              <w:pStyle w:val="TableContents"/>
              <w:bidi w:val="0"/>
              <w:spacing w:before="0" w:after="283"/>
              <w:jc w:val="left"/>
              <w:rPr/>
            </w:pPr>
            <w:hyperlink w:anchor="F_028">
              <w:r>
                <w:rPr>
                  <w:rStyle w:val="InternetLink"/>
                </w:rPr>
                <w:t>Report of Independent Registered Public Accounting Firm – CBIZ CPAs P.C. (PCAOB ID No: 199)</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F-2</w:t>
            </w:r>
          </w:p>
        </w:tc>
      </w:tr>
      <w:tr>
        <w:trPr/>
        <w:tc>
          <w:tcPr>
            <w:tcW w:w="97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r>
      <w:tr>
        <w:trPr/>
        <w:tc>
          <w:tcPr>
            <w:tcW w:w="9705" w:type="dxa"/>
            <w:tcBorders/>
            <w:shd w:fill="CCEEFF" w:val="clear"/>
            <w:vAlign w:val="center"/>
          </w:tcPr>
          <w:p>
            <w:pPr>
              <w:pStyle w:val="TableContents"/>
              <w:bidi w:val="0"/>
              <w:spacing w:before="0" w:after="283"/>
              <w:jc w:val="left"/>
              <w:rPr/>
            </w:pPr>
            <w:hyperlink w:anchor="F_029">
              <w:r>
                <w:rPr>
                  <w:rStyle w:val="InternetLink"/>
                </w:rPr>
                <w:t>Report of Independent Registered Public Accounting Firm – Marcum LLP (PCAOB ID No: 688)</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F-3</w:t>
            </w:r>
          </w:p>
        </w:tc>
      </w:tr>
      <w:tr>
        <w:trPr/>
        <w:tc>
          <w:tcPr>
            <w:tcW w:w="97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r>
      <w:tr>
        <w:trPr/>
        <w:tc>
          <w:tcPr>
            <w:tcW w:w="9705" w:type="dxa"/>
            <w:tcBorders/>
            <w:shd w:fill="CCEEFF" w:val="clear"/>
            <w:vAlign w:val="center"/>
          </w:tcPr>
          <w:p>
            <w:pPr>
              <w:pStyle w:val="TableContents"/>
              <w:bidi w:val="0"/>
              <w:spacing w:before="0" w:after="283"/>
              <w:jc w:val="left"/>
              <w:rPr/>
            </w:pPr>
            <w:r>
              <w:rPr/>
              <w:t>Consolidated Financial Statements:</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r>
      <w:tr>
        <w:trPr/>
        <w:tc>
          <w:tcPr>
            <w:tcW w:w="97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r>
      <w:tr>
        <w:trPr/>
        <w:tc>
          <w:tcPr>
            <w:tcW w:w="9705" w:type="dxa"/>
            <w:tcBorders/>
            <w:shd w:fill="CCEEFF" w:val="clear"/>
            <w:vAlign w:val="center"/>
          </w:tcPr>
          <w:p>
            <w:pPr>
              <w:pStyle w:val="TableContents"/>
              <w:bidi w:val="0"/>
              <w:spacing w:before="0" w:after="283"/>
              <w:jc w:val="left"/>
              <w:rPr/>
            </w:pPr>
            <w:hyperlink w:anchor="F_030">
              <w:r>
                <w:rPr>
                  <w:rStyle w:val="InternetLink"/>
                </w:rPr>
                <w:t>Consolidated Balance Sheets – As of December 31, 2025 and 2024</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F-4</w:t>
            </w:r>
          </w:p>
        </w:tc>
      </w:tr>
      <w:tr>
        <w:trPr/>
        <w:tc>
          <w:tcPr>
            <w:tcW w:w="97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r>
      <w:tr>
        <w:trPr/>
        <w:tc>
          <w:tcPr>
            <w:tcW w:w="9705" w:type="dxa"/>
            <w:tcBorders/>
            <w:shd w:fill="CCEEFF" w:val="clear"/>
            <w:vAlign w:val="center"/>
          </w:tcPr>
          <w:p>
            <w:pPr>
              <w:pStyle w:val="TableContents"/>
              <w:bidi w:val="0"/>
              <w:spacing w:before="0" w:after="283"/>
              <w:jc w:val="left"/>
              <w:rPr/>
            </w:pPr>
            <w:hyperlink w:anchor="F_031">
              <w:r>
                <w:rPr>
                  <w:rStyle w:val="InternetLink"/>
                </w:rPr>
                <w:t>Consolidated Statements of Operations – For the Years Ended December 31, 2025 and 2024</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F-5</w:t>
            </w:r>
          </w:p>
        </w:tc>
      </w:tr>
      <w:tr>
        <w:trPr/>
        <w:tc>
          <w:tcPr>
            <w:tcW w:w="97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r>
      <w:tr>
        <w:trPr/>
        <w:tc>
          <w:tcPr>
            <w:tcW w:w="9705" w:type="dxa"/>
            <w:tcBorders/>
            <w:shd w:fill="CCEEFF" w:val="clear"/>
            <w:vAlign w:val="center"/>
          </w:tcPr>
          <w:p>
            <w:pPr>
              <w:pStyle w:val="TableContents"/>
              <w:bidi w:val="0"/>
              <w:spacing w:before="0" w:after="283"/>
              <w:jc w:val="left"/>
              <w:rPr/>
            </w:pPr>
            <w:hyperlink w:anchor="F_032">
              <w:r>
                <w:rPr>
                  <w:rStyle w:val="InternetLink"/>
                </w:rPr>
                <w:t>Consolidated Statements of Changes in Stockholders’ Equity – For the Years Ended December 31, 2025 and 2024</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F-6</w:t>
            </w:r>
          </w:p>
        </w:tc>
      </w:tr>
      <w:tr>
        <w:trPr/>
        <w:tc>
          <w:tcPr>
            <w:tcW w:w="97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r>
      <w:tr>
        <w:trPr/>
        <w:tc>
          <w:tcPr>
            <w:tcW w:w="9705" w:type="dxa"/>
            <w:tcBorders/>
            <w:shd w:fill="CCEEFF" w:val="clear"/>
            <w:vAlign w:val="center"/>
          </w:tcPr>
          <w:p>
            <w:pPr>
              <w:pStyle w:val="TableContents"/>
              <w:bidi w:val="0"/>
              <w:spacing w:before="0" w:after="283"/>
              <w:jc w:val="left"/>
              <w:rPr/>
            </w:pPr>
            <w:hyperlink w:anchor="F_034">
              <w:r>
                <w:rPr>
                  <w:rStyle w:val="InternetLink"/>
                </w:rPr>
                <w:t>Consolidated Statements of Cash Flows – For the Years Ended December 31, 2025 and 2024</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F-7</w:t>
            </w:r>
          </w:p>
        </w:tc>
      </w:tr>
      <w:tr>
        <w:trPr/>
        <w:tc>
          <w:tcPr>
            <w:tcW w:w="97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r>
      <w:tr>
        <w:trPr/>
        <w:tc>
          <w:tcPr>
            <w:tcW w:w="9705" w:type="dxa"/>
            <w:tcBorders/>
            <w:shd w:fill="CCEEFF" w:val="clear"/>
            <w:vAlign w:val="center"/>
          </w:tcPr>
          <w:p>
            <w:pPr>
              <w:pStyle w:val="TableContents"/>
              <w:bidi w:val="0"/>
              <w:spacing w:before="0" w:after="283"/>
              <w:jc w:val="left"/>
              <w:rPr/>
            </w:pPr>
            <w:hyperlink w:anchor="F_035">
              <w:r>
                <w:rPr>
                  <w:rStyle w:val="InternetLink"/>
                </w:rPr>
                <w:t>Notes to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F-9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_028"/>
      <w:bookmarkEnd w:id="2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Air Industries Group and subsidiaries (the “Company”) as of December 31, 2025, the related consolidated statements of operations, changes in stockholders’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1, the Current Credit Facility is scheduled to expire on September 30, 2026 and the Related Party Subordinated Notes mature on October 1, 2026. In addition, the Company is required to maintain a collection account with its lender into which substantially all the Company’s cash receipts are remitted. If the Company’s lender were to cease lending and keep the funds remitted to the collection account, the Company would lack the funds to continue its operations. The Current Credit Facility and Related Party Subordinated notes expiration dates and the rights granted to the lender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served as the Company’s auditor since 2008 (such date takes into account the acquisition of the attest business of Marcum </w:t>
      </w:r>
      <w:r>
        <w:rPr>
          <w:rFonts w:ascii="Times New Roman;Times;Serif" w:hAnsi="Times New Roman;Times;Serif"/>
          <w:b w:val="false"/>
          <w:i w:val="false"/>
          <w:smallCaps/>
          <w:sz w:val="20"/>
        </w:rPr>
        <w:t>llp</w:t>
      </w:r>
      <w:r>
        <w:rPr>
          <w:rFonts w:ascii="Times New Roman;Times;Serif" w:hAnsi="Times New Roman;Times;Serif"/>
          <w:b w:val="false"/>
          <w:i w:val="false"/>
          <w:caps w:val="false"/>
          <w:smallCaps w:val="false"/>
          <w:sz w:val="20"/>
        </w:rPr>
        <w:t xml:space="preserve"> by CBIZ CPAs P.C. effective November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Saddle Brook, NJ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_029"/>
      <w:bookmarkEnd w:id="3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Air Industries Group and subsidiaries (the “Company”) as of December 31, 2024, the related consolidated statements of operations, changes in stockholders’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more fully described in Note 1, the Current Credit Facility expires on December 30, 2025. In addition, the Company is required to maintain a collection account with its lender into which substantially all the Company’s cash receipts are remitted. If the Company’s lender were to cease lending and keep the funds remitted to the collection account, the Company would lack the funds to continue its operations. The current credit facility expiration date and the rights granted to the lender, combined with the reasonable possibility that the Company might fail to meet covenants in the future, raise substantial doubt about its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2008 through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Saddle Brook, NJ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_030"/>
      <w:bookmarkEnd w:id="31"/>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36"/>
        <w:gridCol w:w="90"/>
        <w:gridCol w:w="172"/>
        <w:gridCol w:w="1224"/>
        <w:gridCol w:w="125"/>
        <w:gridCol w:w="90"/>
        <w:gridCol w:w="172"/>
        <w:gridCol w:w="1224"/>
        <w:gridCol w:w="172"/>
      </w:tblGrid>
      <w:tr>
        <w:trPr/>
        <w:tc>
          <w:tcPr>
            <w:tcW w:w="693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center"/>
              <w:rPr>
                <w:b/>
              </w:rPr>
            </w:pPr>
            <w:r>
              <w:rPr>
                <w:b/>
              </w:rPr>
              <w:t>December 31,</w:t>
            </w:r>
          </w:p>
        </w:tc>
        <w:tc>
          <w:tcPr>
            <w:tcW w:w="172" w:type="dxa"/>
            <w:tcBorders/>
            <w:vAlign w:val="center"/>
          </w:tcPr>
          <w:p>
            <w:pPr>
              <w:pStyle w:val="TableContents"/>
              <w:bidi w:val="0"/>
              <w:spacing w:before="0" w:after="283"/>
              <w:jc w:val="left"/>
              <w:rPr/>
            </w:pPr>
            <w:r>
              <w:rPr/>
              <w:t> </w:t>
            </w:r>
          </w:p>
        </w:tc>
      </w:tr>
      <w:tr>
        <w:trPr/>
        <w:tc>
          <w:tcPr>
            <w:tcW w:w="693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2" w:type="dxa"/>
            <w:tcBorders/>
            <w:vAlign w:val="center"/>
          </w:tcPr>
          <w:p>
            <w:pPr>
              <w:pStyle w:val="TableContents"/>
              <w:bidi w:val="0"/>
              <w:spacing w:before="0" w:after="283"/>
              <w:jc w:val="left"/>
              <w:rPr/>
            </w:pPr>
            <w:r>
              <w:rPr/>
              <w:t> </w:t>
            </w:r>
          </w:p>
        </w:tc>
      </w:tr>
      <w:tr>
        <w:trPr/>
        <w:tc>
          <w:tcPr>
            <w:tcW w:w="693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r>
      <w:tr>
        <w:trPr/>
        <w:tc>
          <w:tcPr>
            <w:tcW w:w="6936"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6936"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680,000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753,000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Restricted Cash</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3,930,000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0"/>
              <w:jc w:val="right"/>
              <w:rPr/>
            </w:pPr>
            <w:r>
              <w:rPr/>
              <w:t>-</w:t>
            </w:r>
          </w:p>
        </w:tc>
        <w:tc>
          <w:tcPr>
            <w:tcW w:w="172" w:type="dxa"/>
            <w:tcBorders/>
            <w:shd w:fill="FFFFFF" w:val="clear"/>
            <w:vAlign w:val="center"/>
          </w:tcPr>
          <w:p>
            <w:pPr>
              <w:pStyle w:val="TableContents"/>
              <w:bidi w:val="0"/>
              <w:spacing w:before="0" w:after="283"/>
              <w:ind w:left="0" w:right="0" w:hanging="0"/>
              <w:jc w:val="left"/>
              <w:rPr/>
            </w:pPr>
            <w:r>
              <w:rPr/>
              <w:t> </w:t>
            </w:r>
          </w:p>
        </w:tc>
      </w:tr>
      <w:tr>
        <w:trPr/>
        <w:tc>
          <w:tcPr>
            <w:tcW w:w="6936" w:type="dxa"/>
            <w:tcBorders/>
            <w:shd w:fill="CCEEFF" w:val="clear"/>
            <w:vAlign w:val="center"/>
          </w:tcPr>
          <w:p>
            <w:pPr>
              <w:pStyle w:val="TableContents"/>
              <w:bidi w:val="0"/>
              <w:spacing w:before="0" w:after="283"/>
              <w:jc w:val="left"/>
              <w:rPr/>
            </w:pPr>
            <w:r>
              <w:rPr/>
              <w:t>Accounts Receivable, Net of Allowance for Credit Losses of $464,000 and $396,000</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7,071,000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8,900,000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Inventory</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34,261,000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28,811,000</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766,000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371,000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Contract Costs Receivable</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296,000</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Prepaid Taxes</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76,000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56,000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Total Current Assets</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46,784,000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39,187,000</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Property and Equipment, Net</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9,501,000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8,809,000</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Finance Lease Right-Of-Use-Assets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916,000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1,113,000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Operating Lease Right-Of-Use-Assets</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514,000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1,190,000</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Deferred Financing Costs, Net, Deposits and Other Assets</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614,000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712,000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58,329,000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51,011,000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Current Liabilities</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Debt</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23,721,000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18,362,000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Subordinated Notes - Related Party</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4,871,000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224" w:type="dxa"/>
            <w:tcBorders/>
            <w:shd w:fill="FFFFFF" w:val="clear"/>
            <w:vAlign w:val="center"/>
          </w:tcPr>
          <w:p>
            <w:pPr>
              <w:pStyle w:val="TableContents"/>
              <w:bidi w:val="0"/>
              <w:spacing w:before="0" w:after="0"/>
              <w:jc w:val="right"/>
              <w:rPr/>
            </w:pPr>
            <w:r>
              <w:rPr/>
              <w:t>-</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Accounts Payable and Accrued Expenses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7,903,000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7,015,000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Operating Lease Liabilities</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702,000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881,000</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Deferred Gain on Sale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28,000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38,000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Customer Deposits</w:t>
            </w:r>
          </w:p>
        </w:tc>
        <w:tc>
          <w:tcPr>
            <w:tcW w:w="9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391,000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1,115,000</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37,616,000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27,411,000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Long Term Liabilities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Debt</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1,512,000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1,759,000</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Subordinated Notes - Related Party</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6,162,000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Operating Lease Liabilities</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702,000</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Deferred Gain on Sale</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29,000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TOTAL LIABILITIES</w:t>
            </w:r>
          </w:p>
        </w:tc>
        <w:tc>
          <w:tcPr>
            <w:tcW w:w="9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39,128,000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36,063,000</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Commitments and Contingencies (see Note 12)</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0"/>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Stockholders’ Equity</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ind w:left="0" w:right="0" w:hanging="180"/>
              <w:jc w:val="left"/>
              <w:rPr/>
            </w:pPr>
            <w:r>
              <w:rPr/>
              <w:t> </w:t>
            </w:r>
          </w:p>
        </w:tc>
      </w:tr>
      <w:tr>
        <w:trPr/>
        <w:tc>
          <w:tcPr>
            <w:tcW w:w="6936" w:type="dxa"/>
            <w:tcBorders/>
            <w:shd w:fill="CCEEFF" w:val="clear"/>
            <w:vAlign w:val="center"/>
          </w:tcPr>
          <w:p>
            <w:pPr>
              <w:pStyle w:val="TableContents"/>
              <w:bidi w:val="0"/>
              <w:spacing w:before="0" w:after="283"/>
              <w:jc w:val="left"/>
              <w:rPr/>
            </w:pPr>
            <w:r>
              <w:rPr/>
              <w:t>Preferred Stock, par value $.001 - Authorized 3,000,000 shares, 0 shares outstanding, at both December 31, 2025 and December 31, 2024.</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936" w:type="dxa"/>
            <w:tcBorders/>
            <w:shd w:fill="FFFFFF" w:val="clear"/>
            <w:vAlign w:val="center"/>
          </w:tcPr>
          <w:p>
            <w:pPr>
              <w:pStyle w:val="TableContents"/>
              <w:bidi w:val="0"/>
              <w:spacing w:before="0" w:after="283"/>
              <w:jc w:val="left"/>
              <w:rPr/>
            </w:pPr>
            <w:r>
              <w:rPr/>
              <w:t>Common Stock - Par Value $.001 - Authorized 6,000,000 shares, 4,776,454 and 3,474,970 shares issued and outstanding as of December 31, 2025 and December 31, 2024, respectively</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3,000</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89,608,000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84,052,000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Accumulated Deficit</w:t>
            </w:r>
          </w:p>
        </w:tc>
        <w:tc>
          <w:tcPr>
            <w:tcW w:w="9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(70,412,000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(69,107,000</w:t>
            </w:r>
          </w:p>
        </w:tc>
        <w:tc>
          <w:tcPr>
            <w:tcW w:w="172" w:type="dxa"/>
            <w:tcBorders/>
            <w:shd w:fill="FFFFFF" w:val="clear"/>
            <w:vAlign w:val="center"/>
          </w:tcPr>
          <w:p>
            <w:pPr>
              <w:pStyle w:val="TableContents"/>
              <w:bidi w:val="0"/>
              <w:spacing w:before="0" w:after="283"/>
              <w:jc w:val="left"/>
              <w:rPr/>
            </w:pPr>
            <w:r>
              <w:rPr/>
              <w:t>)</w:t>
            </w:r>
          </w:p>
        </w:tc>
      </w:tr>
      <w:tr>
        <w:trPr/>
        <w:tc>
          <w:tcPr>
            <w:tcW w:w="6936" w:type="dxa"/>
            <w:tcBorders/>
            <w:shd w:fill="CCEEFF" w:val="clear"/>
            <w:vAlign w:val="center"/>
          </w:tcPr>
          <w:p>
            <w:pPr>
              <w:pStyle w:val="TableContents"/>
              <w:bidi w:val="0"/>
              <w:spacing w:before="0" w:after="283"/>
              <w:jc w:val="left"/>
              <w:rPr/>
            </w:pPr>
            <w:r>
              <w:rPr/>
              <w:t>TOTAL STOCKHOLDERS’ EQUITY</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19,201,000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14,948,000</w:t>
            </w:r>
          </w:p>
        </w:tc>
        <w:tc>
          <w:tcPr>
            <w:tcW w:w="172" w:type="dxa"/>
            <w:tcBorders/>
            <w:shd w:fill="CCEEFF" w:val="cle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6936" w:type="dxa"/>
            <w:tcBorders/>
            <w:shd w:fill="CCEEFF" w:val="clear"/>
            <w:vAlign w:val="center"/>
          </w:tcPr>
          <w:p>
            <w:pPr>
              <w:pStyle w:val="TableContents"/>
              <w:bidi w:val="0"/>
              <w:spacing w:before="0" w:after="283"/>
              <w:jc w:val="left"/>
              <w:rPr/>
            </w:pPr>
            <w:r>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58,329,000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51,011,000</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F_031"/>
      <w:bookmarkEnd w:id="32"/>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br/>
        <w:t>For the Years Ended December 31,</w:t>
      </w:r>
    </w:p>
    <w:p>
      <w:pPr>
        <w:pStyle w:val="TextBody"/>
        <w:bidi w:val="0"/>
        <w:spacing w:before="0" w:after="0"/>
        <w:ind w:left="0" w:right="0" w:hanging="0"/>
        <w:jc w:val="center"/>
        <w:rPr>
          <w:caps w:val="false"/>
          <w:smallCaps w:val="false"/>
        </w:rPr>
      </w:pPr>
      <w:r>
        <w:rPr>
          <w:caps w:val="false"/>
          <w:smallCaps w:val="false"/>
        </w:rPr>
        <w:t> </w:t>
      </w:r>
    </w:p>
    <w:tbl>
      <w:tblPr>
        <w:tblW w:w="8660" w:type="dxa"/>
        <w:jc w:val="left"/>
        <w:tblInd w:w="0" w:type="dxa"/>
        <w:tblLayout w:type="fixed"/>
        <w:tblCellMar>
          <w:top w:w="0" w:type="dxa"/>
          <w:left w:w="0" w:type="dxa"/>
          <w:bottom w:w="0" w:type="dxa"/>
          <w:right w:w="0" w:type="dxa"/>
        </w:tblCellMar>
      </w:tblPr>
      <w:tblGrid>
        <w:gridCol w:w="5585"/>
        <w:gridCol w:w="90"/>
        <w:gridCol w:w="170"/>
        <w:gridCol w:w="1130"/>
        <w:gridCol w:w="125"/>
        <w:gridCol w:w="90"/>
        <w:gridCol w:w="170"/>
        <w:gridCol w:w="1130"/>
        <w:gridCol w:w="170"/>
      </w:tblGrid>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47,921,000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55,108,000</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Cost of Sales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39,734,000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46,176,000</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8,187,000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8,932,000</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8,525,000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8,473,000</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(Loss)/Income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(338,000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459,000</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(1,485,000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(1,421,000</w:t>
            </w:r>
          </w:p>
        </w:tc>
        <w:tc>
          <w:tcPr>
            <w:tcW w:w="17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Interest Expense -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(356,000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(472,000</w:t>
            </w:r>
          </w:p>
        </w:tc>
        <w:tc>
          <w:tcPr>
            <w:tcW w:w="17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Other Income,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743,000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68,000</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Loss before Benefit From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(1,436,000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(1,366,000</w:t>
            </w:r>
          </w:p>
        </w:tc>
        <w:tc>
          <w:tcPr>
            <w:tcW w:w="17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Benefit from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(131,000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(1,305,000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(1,366,000</w:t>
            </w:r>
          </w:p>
        </w:tc>
        <w:tc>
          <w:tcPr>
            <w:tcW w:w="17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Loss per share - 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(0.31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(0.41</w:t>
            </w:r>
          </w:p>
        </w:tc>
        <w:tc>
          <w:tcPr>
            <w:tcW w:w="17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Weighted Average Shares Outstanding - 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4,216,918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3,336,464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F_032"/>
      <w:bookmarkEnd w:id="33"/>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0"/>
        <w:gridCol w:w="90"/>
        <w:gridCol w:w="90"/>
        <w:gridCol w:w="1010"/>
        <w:gridCol w:w="90"/>
        <w:gridCol w:w="90"/>
        <w:gridCol w:w="199"/>
        <w:gridCol w:w="691"/>
        <w:gridCol w:w="90"/>
        <w:gridCol w:w="90"/>
        <w:gridCol w:w="170"/>
        <w:gridCol w:w="1130"/>
        <w:gridCol w:w="125"/>
        <w:gridCol w:w="90"/>
        <w:gridCol w:w="173"/>
        <w:gridCol w:w="1227"/>
        <w:gridCol w:w="125"/>
        <w:gridCol w:w="90"/>
        <w:gridCol w:w="181"/>
        <w:gridCol w:w="1212"/>
        <w:gridCol w:w="172"/>
      </w:tblGrid>
      <w:tr>
        <w:trPr/>
        <w:tc>
          <w:tcPr>
            <w:tcW w:w="3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center"/>
              <w:rPr>
                <w:b/>
              </w:rPr>
            </w:pPr>
            <w:r>
              <w:rPr>
                <w:b/>
              </w:rPr>
              <w:t>Total</w:t>
            </w:r>
          </w:p>
        </w:tc>
        <w:tc>
          <w:tcPr>
            <w:tcW w:w="172" w:type="dxa"/>
            <w:tcBorders/>
            <w:vAlign w:val="center"/>
          </w:tcPr>
          <w:p>
            <w:pPr>
              <w:pStyle w:val="TableContents"/>
              <w:bidi w:val="0"/>
              <w:spacing w:before="0" w:after="283"/>
              <w:jc w:val="left"/>
              <w:rPr/>
            </w:pPr>
            <w:r>
              <w:rPr/>
              <w:t> </w:t>
            </w:r>
          </w:p>
        </w:tc>
      </w:tr>
      <w:tr>
        <w:trPr/>
        <w:tc>
          <w:tcPr>
            <w:tcW w:w="3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center"/>
              <w:rPr>
                <w:b/>
              </w:rPr>
            </w:pPr>
            <w:r>
              <w:rPr>
                <w:b/>
              </w:rPr>
              <w:t>Stockholders’</w:t>
            </w:r>
          </w:p>
        </w:tc>
        <w:tc>
          <w:tcPr>
            <w:tcW w:w="172" w:type="dxa"/>
            <w:tcBorders/>
            <w:vAlign w:val="center"/>
          </w:tcPr>
          <w:p>
            <w:pPr>
              <w:pStyle w:val="TableContents"/>
              <w:bidi w:val="0"/>
              <w:spacing w:before="0" w:after="283"/>
              <w:jc w:val="left"/>
              <w:rPr/>
            </w:pPr>
            <w:r>
              <w:rPr/>
              <w:t> </w:t>
            </w:r>
          </w:p>
        </w:tc>
      </w:tr>
      <w:tr>
        <w:trPr/>
        <w:tc>
          <w:tcPr>
            <w:tcW w:w="3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72" w:type="dxa"/>
            <w:tcBorders/>
            <w:vAlign w:val="center"/>
          </w:tcPr>
          <w:p>
            <w:pPr>
              <w:pStyle w:val="TableContents"/>
              <w:bidi w:val="0"/>
              <w:spacing w:before="0" w:after="283"/>
              <w:jc w:val="left"/>
              <w:rPr/>
            </w:pPr>
            <w:r>
              <w:rPr/>
              <w:t> </w:t>
            </w:r>
          </w:p>
        </w:tc>
      </w:tr>
      <w:tr>
        <w:trPr/>
        <w:tc>
          <w:tcPr>
            <w:tcW w:w="3070" w:type="dxa"/>
            <w:tcBorders/>
            <w:shd w:fill="CCEEFF" w:val="clear"/>
            <w:vAlign w:val="center"/>
          </w:tcPr>
          <w:p>
            <w:pPr>
              <w:pStyle w:val="TableContents"/>
              <w:bidi w:val="0"/>
              <w:spacing w:before="0" w:after="283"/>
              <w:jc w:val="left"/>
              <w:rPr/>
            </w:pPr>
            <w:r>
              <w:rPr/>
              <w:t>Balance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3,303,045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3,000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82,928,000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(67,741,000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15,190,000</w:t>
            </w:r>
          </w:p>
        </w:tc>
        <w:tc>
          <w:tcPr>
            <w:tcW w:w="172" w:type="dxa"/>
            <w:tcBorders/>
            <w:shd w:fill="CCEEFF" w:val="clear"/>
            <w:vAlign w:val="center"/>
          </w:tcPr>
          <w:p>
            <w:pPr>
              <w:pStyle w:val="TableContents"/>
              <w:bidi w:val="0"/>
              <w:spacing w:before="0" w:after="283"/>
              <w:jc w:val="left"/>
              <w:rPr/>
            </w:pPr>
            <w:r>
              <w:rPr/>
              <w:t> </w:t>
            </w:r>
          </w:p>
        </w:tc>
      </w:tr>
      <w:tr>
        <w:trPr/>
        <w:tc>
          <w:tcPr>
            <w:tcW w:w="3070" w:type="dxa"/>
            <w:tcBorders/>
            <w:shd w:fill="FFFFFF" w:val="clear"/>
            <w:vAlign w:val="center"/>
          </w:tcPr>
          <w:p>
            <w:pPr>
              <w:pStyle w:val="TableContents"/>
              <w:bidi w:val="0"/>
              <w:spacing w:before="0" w:after="283"/>
              <w:jc w:val="left"/>
              <w:rPr/>
            </w:pPr>
            <w:r>
              <w:rPr/>
              <w:t>Common Stock issued for directors fees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39,845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157,000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157,000</w:t>
            </w:r>
          </w:p>
        </w:tc>
        <w:tc>
          <w:tcPr>
            <w:tcW w:w="172" w:type="dxa"/>
            <w:tcBorders/>
            <w:shd w:fill="FFFFFF" w:val="clear"/>
            <w:vAlign w:val="center"/>
          </w:tcPr>
          <w:p>
            <w:pPr>
              <w:pStyle w:val="TableContents"/>
              <w:bidi w:val="0"/>
              <w:spacing w:before="0" w:after="283"/>
              <w:jc w:val="left"/>
              <w:rPr/>
            </w:pPr>
            <w:r>
              <w:rPr/>
              <w:t> </w:t>
            </w:r>
          </w:p>
        </w:tc>
      </w:tr>
      <w:tr>
        <w:trPr/>
        <w:tc>
          <w:tcPr>
            <w:tcW w:w="3070" w:type="dxa"/>
            <w:tcBorders/>
            <w:shd w:fill="CCEEFF" w:val="clear"/>
            <w:vAlign w:val="center"/>
          </w:tcPr>
          <w:p>
            <w:pPr>
              <w:pStyle w:val="TableContents"/>
              <w:bidi w:val="0"/>
              <w:spacing w:before="0" w:after="283"/>
              <w:jc w:val="left"/>
              <w:rPr/>
            </w:pPr>
            <w:r>
              <w:rPr/>
              <w:t>Stock 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640,000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640,000</w:t>
            </w:r>
          </w:p>
        </w:tc>
        <w:tc>
          <w:tcPr>
            <w:tcW w:w="172" w:type="dxa"/>
            <w:tcBorders/>
            <w:shd w:fill="CCEEFF" w:val="clear"/>
            <w:vAlign w:val="center"/>
          </w:tcPr>
          <w:p>
            <w:pPr>
              <w:pStyle w:val="TableContents"/>
              <w:bidi w:val="0"/>
              <w:spacing w:before="0" w:after="283"/>
              <w:jc w:val="left"/>
              <w:rPr/>
            </w:pPr>
            <w:r>
              <w:rPr/>
              <w:t> </w:t>
            </w:r>
          </w:p>
        </w:tc>
      </w:tr>
      <w:tr>
        <w:trPr/>
        <w:tc>
          <w:tcPr>
            <w:tcW w:w="3070" w:type="dxa"/>
            <w:tcBorders/>
            <w:shd w:fill="FFFFFF" w:val="clear"/>
            <w:vAlign w:val="center"/>
          </w:tcPr>
          <w:p>
            <w:pPr>
              <w:pStyle w:val="TableContents"/>
              <w:bidi w:val="0"/>
              <w:spacing w:before="0" w:after="283"/>
              <w:jc w:val="left"/>
              <w:rPr/>
            </w:pPr>
            <w:r>
              <w:rPr/>
              <w:t>Exercise of stock options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15,229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0"/>
              <w:jc w:val="right"/>
              <w:rPr/>
            </w:pPr>
            <w:r>
              <w:rPr/>
              <w:t>-</w:t>
            </w:r>
          </w:p>
        </w:tc>
        <w:tc>
          <w:tcPr>
            <w:tcW w:w="172" w:type="dxa"/>
            <w:tcBorders/>
            <w:shd w:fill="FFFFFF" w:val="clear"/>
            <w:vAlign w:val="center"/>
          </w:tcPr>
          <w:p>
            <w:pPr>
              <w:pStyle w:val="TableContents"/>
              <w:bidi w:val="0"/>
              <w:spacing w:before="0" w:after="283"/>
              <w:jc w:val="left"/>
              <w:rPr/>
            </w:pPr>
            <w:r>
              <w:rPr/>
              <w:t> </w:t>
            </w:r>
          </w:p>
        </w:tc>
      </w:tr>
      <w:tr>
        <w:trPr/>
        <w:tc>
          <w:tcPr>
            <w:tcW w:w="3070" w:type="dxa"/>
            <w:tcBorders/>
            <w:shd w:fill="CCEEFF" w:val="clear"/>
            <w:vAlign w:val="center"/>
          </w:tcPr>
          <w:p>
            <w:pPr>
              <w:pStyle w:val="TableContents"/>
              <w:bidi w:val="0"/>
              <w:spacing w:before="0" w:after="283"/>
              <w:jc w:val="left"/>
              <w:rPr/>
            </w:pPr>
            <w:r>
              <w:rPr/>
              <w:t>Common Stock issued for cash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116,851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327,000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327,000</w:t>
            </w:r>
          </w:p>
        </w:tc>
        <w:tc>
          <w:tcPr>
            <w:tcW w:w="172" w:type="dxa"/>
            <w:tcBorders/>
            <w:shd w:fill="CCEEFF" w:val="clear"/>
            <w:vAlign w:val="center"/>
          </w:tcPr>
          <w:p>
            <w:pPr>
              <w:pStyle w:val="TableContents"/>
              <w:bidi w:val="0"/>
              <w:spacing w:before="0" w:after="283"/>
              <w:jc w:val="left"/>
              <w:rPr/>
            </w:pPr>
            <w:r>
              <w:rPr/>
              <w:t> </w:t>
            </w:r>
          </w:p>
        </w:tc>
      </w:tr>
      <w:tr>
        <w:trPr/>
        <w:tc>
          <w:tcPr>
            <w:tcW w:w="3070" w:type="dxa"/>
            <w:tcBorders/>
            <w:shd w:fill="FFFFFF" w:val="clear"/>
            <w:vAlign w:val="center"/>
          </w:tcPr>
          <w:p>
            <w:pPr>
              <w:pStyle w:val="TableContents"/>
              <w:bidi w:val="0"/>
              <w:spacing w:before="0" w:after="283"/>
              <w:jc w:val="left"/>
              <w:rPr/>
            </w:pPr>
            <w:r>
              <w:rPr/>
              <w:t>Net Loss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(1,366,000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(1,366,000</w:t>
            </w:r>
          </w:p>
        </w:tc>
        <w:tc>
          <w:tcPr>
            <w:tcW w:w="172" w:type="dxa"/>
            <w:tcBorders/>
            <w:shd w:fill="FFFFFF" w:val="clear"/>
            <w:vAlign w:val="center"/>
          </w:tcPr>
          <w:p>
            <w:pPr>
              <w:pStyle w:val="TableContents"/>
              <w:bidi w:val="0"/>
              <w:spacing w:before="0" w:after="283"/>
              <w:jc w:val="left"/>
              <w:rPr/>
            </w:pPr>
            <w:r>
              <w:rPr/>
              <w:t>)</w:t>
            </w:r>
          </w:p>
        </w:tc>
      </w:tr>
      <w:tr>
        <w:trPr/>
        <w:tc>
          <w:tcPr>
            <w:tcW w:w="3070" w:type="dxa"/>
            <w:tcBorders/>
            <w:shd w:fill="CCEEFF" w:val="clear"/>
            <w:vAlign w:val="center"/>
          </w:tcPr>
          <w:p>
            <w:pPr>
              <w:pStyle w:val="TableContents"/>
              <w:bidi w:val="0"/>
              <w:spacing w:before="0" w:after="283"/>
              <w:jc w:val="left"/>
              <w:rPr/>
            </w:pPr>
            <w:r>
              <w:rPr/>
              <w:t>Balance,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3,474,970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3,000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84,052,000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(69,107,000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14,948,000</w:t>
            </w:r>
          </w:p>
        </w:tc>
        <w:tc>
          <w:tcPr>
            <w:tcW w:w="172" w:type="dxa"/>
            <w:tcBorders/>
            <w:shd w:fill="CCEEFF" w:val="clear"/>
            <w:vAlign w:val="center"/>
          </w:tcPr>
          <w:p>
            <w:pPr>
              <w:pStyle w:val="TableContents"/>
              <w:bidi w:val="0"/>
              <w:spacing w:before="0" w:after="283"/>
              <w:jc w:val="left"/>
              <w:rPr/>
            </w:pPr>
            <w:r>
              <w:rPr/>
              <w:t> </w:t>
            </w:r>
          </w:p>
        </w:tc>
      </w:tr>
      <w:tr>
        <w:trPr/>
        <w:tc>
          <w:tcPr>
            <w:tcW w:w="307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3070" w:type="dxa"/>
            <w:tcBorders/>
            <w:shd w:fill="CCEEFF" w:val="clear"/>
            <w:vAlign w:val="center"/>
          </w:tcPr>
          <w:p>
            <w:pPr>
              <w:pStyle w:val="TableContents"/>
              <w:bidi w:val="0"/>
              <w:spacing w:before="0" w:after="283"/>
              <w:jc w:val="left"/>
              <w:rPr/>
            </w:pPr>
            <w:r>
              <w:rPr/>
              <w:t>Common Stock issued for directors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30,699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108,000</w:t>
            </w:r>
          </w:p>
        </w:tc>
        <w:tc>
          <w:tcPr>
            <w:tcW w:w="172" w:type="dxa"/>
            <w:tcBorders/>
            <w:shd w:fill="CCEEFF" w:val="clear"/>
            <w:vAlign w:val="center"/>
          </w:tcPr>
          <w:p>
            <w:pPr>
              <w:pStyle w:val="TableContents"/>
              <w:bidi w:val="0"/>
              <w:spacing w:before="0" w:after="283"/>
              <w:jc w:val="left"/>
              <w:rPr/>
            </w:pPr>
            <w:r>
              <w:rPr/>
              <w:t> </w:t>
            </w:r>
          </w:p>
        </w:tc>
      </w:tr>
      <w:tr>
        <w:trPr/>
        <w:tc>
          <w:tcPr>
            <w:tcW w:w="3070" w:type="dxa"/>
            <w:tcBorders/>
            <w:shd w:fill="FFFFFF" w:val="clear"/>
            <w:vAlign w:val="center"/>
          </w:tcPr>
          <w:p>
            <w:pPr>
              <w:pStyle w:val="TableContents"/>
              <w:bidi w:val="0"/>
              <w:spacing w:before="0" w:after="283"/>
              <w:jc w:val="left"/>
              <w:rPr/>
            </w:pPr>
            <w:r>
              <w:rPr/>
              <w:t>Stock Based Compensation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939,000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939,000</w:t>
            </w:r>
          </w:p>
        </w:tc>
        <w:tc>
          <w:tcPr>
            <w:tcW w:w="172" w:type="dxa"/>
            <w:tcBorders/>
            <w:shd w:fill="FFFFFF" w:val="clear"/>
            <w:vAlign w:val="center"/>
          </w:tcPr>
          <w:p>
            <w:pPr>
              <w:pStyle w:val="TableContents"/>
              <w:bidi w:val="0"/>
              <w:spacing w:before="0" w:after="283"/>
              <w:jc w:val="left"/>
              <w:rPr/>
            </w:pPr>
            <w:r>
              <w:rPr/>
              <w:t> </w:t>
            </w:r>
          </w:p>
        </w:tc>
      </w:tr>
      <w:tr>
        <w:trPr/>
        <w:tc>
          <w:tcPr>
            <w:tcW w:w="3070" w:type="dxa"/>
            <w:tcBorders/>
            <w:shd w:fill="CCEEFF" w:val="clear"/>
            <w:vAlign w:val="center"/>
          </w:tcPr>
          <w:p>
            <w:pPr>
              <w:pStyle w:val="TableContents"/>
              <w:bidi w:val="0"/>
              <w:spacing w:before="0" w:after="283"/>
              <w:jc w:val="left"/>
              <w:rPr/>
            </w:pPr>
            <w:r>
              <w:rPr/>
              <w:t>Common Stock issued for cash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1,213,593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4,636,000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4,638,000</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3070" w:type="dxa"/>
            <w:tcBorders/>
            <w:shd w:fill="FFFFFF" w:val="clear"/>
            <w:vAlign w:val="center"/>
          </w:tcPr>
          <w:p>
            <w:pPr>
              <w:pStyle w:val="TableContents"/>
              <w:bidi w:val="0"/>
              <w:spacing w:before="0" w:after="283"/>
              <w:jc w:val="left"/>
              <w:rPr/>
            </w:pPr>
            <w:r>
              <w:rPr/>
              <w:t>Common Stock issued upon settlement of restricted stock units, net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57,192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(127,000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(127,000</w:t>
            </w:r>
          </w:p>
        </w:tc>
        <w:tc>
          <w:tcPr>
            <w:tcW w:w="172" w:type="dxa"/>
            <w:tcBorders/>
            <w:shd w:fill="FFFFFF" w:val="clear"/>
            <w:vAlign w:val="center"/>
          </w:tcPr>
          <w:p>
            <w:pPr>
              <w:pStyle w:val="TableContents"/>
              <w:bidi w:val="0"/>
              <w:spacing w:before="0" w:after="283"/>
              <w:jc w:val="left"/>
              <w:rPr/>
            </w:pPr>
            <w:r>
              <w:rPr/>
              <w:t>)</w:t>
            </w:r>
          </w:p>
        </w:tc>
      </w:tr>
      <w:tr>
        <w:trPr/>
        <w:tc>
          <w:tcPr>
            <w:tcW w:w="30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(1,305,000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(1,305,000</w:t>
            </w:r>
          </w:p>
        </w:tc>
        <w:tc>
          <w:tcPr>
            <w:tcW w:w="172" w:type="dxa"/>
            <w:tcBorders/>
            <w:shd w:fill="CCEEFF" w:val="clear"/>
            <w:vAlign w:val="center"/>
          </w:tcPr>
          <w:p>
            <w:pPr>
              <w:pStyle w:val="TableContents"/>
              <w:bidi w:val="0"/>
              <w:spacing w:before="0" w:after="283"/>
              <w:jc w:val="left"/>
              <w:rPr/>
            </w:pPr>
            <w:r>
              <w:rPr/>
              <w:t>)</w:t>
            </w:r>
          </w:p>
        </w:tc>
      </w:tr>
      <w:tr>
        <w:trPr/>
        <w:tc>
          <w:tcPr>
            <w:tcW w:w="3070" w:type="dxa"/>
            <w:tcBorders/>
            <w:shd w:fill="FFFFFF" w:val="clear"/>
            <w:vAlign w:val="center"/>
          </w:tcPr>
          <w:p>
            <w:pPr>
              <w:pStyle w:val="TableContents"/>
              <w:bidi w:val="0"/>
              <w:spacing w:before="0" w:after="283"/>
              <w:jc w:val="left"/>
              <w:rPr/>
            </w:pPr>
            <w:r>
              <w:rPr/>
              <w:t>Balance, December 31, 2025</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4,776,454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91" w:type="dxa"/>
            <w:tcBorders>
              <w:bottom w:val="single" w:sz="12" w:space="0" w:color="000000"/>
            </w:tcBorders>
            <w:shd w:fill="FFFFFF" w:val="clear"/>
            <w:tcMar>
              <w:bottom w:w="28" w:type="dxa"/>
            </w:tcMar>
            <w:vAlign w:val="center"/>
          </w:tcPr>
          <w:p>
            <w:pPr>
              <w:pStyle w:val="TableContents"/>
              <w:bidi w:val="0"/>
              <w:spacing w:before="0" w:after="283"/>
              <w:jc w:val="right"/>
              <w:rPr/>
            </w:pPr>
            <w:r>
              <w:rPr/>
              <w:t>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89,608,000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(70,412,000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19,201,000</w:t>
            </w:r>
          </w:p>
        </w:tc>
        <w:tc>
          <w:tcPr>
            <w:tcW w:w="17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F_033"/>
      <w:bookmarkEnd w:id="34"/>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br/>
        <w:t>For the Years Ended December 31,</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50"/>
        <w:gridCol w:w="150"/>
        <w:gridCol w:w="170"/>
        <w:gridCol w:w="1085"/>
        <w:gridCol w:w="150"/>
        <w:gridCol w:w="150"/>
        <w:gridCol w:w="170"/>
        <w:gridCol w:w="1085"/>
        <w:gridCol w:w="195"/>
      </w:tblGrid>
      <w:tr>
        <w:trPr/>
        <w:tc>
          <w:tcPr>
            <w:tcW w:w="70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95" w:type="dxa"/>
            <w:tcBorders/>
            <w:vAlign w:val="center"/>
          </w:tcPr>
          <w:p>
            <w:pPr>
              <w:pStyle w:val="TableContents"/>
              <w:bidi w:val="0"/>
              <w:spacing w:before="0" w:after="283"/>
              <w:jc w:val="left"/>
              <w:rPr/>
            </w:pPr>
            <w:r>
              <w:rPr/>
              <w:t> </w:t>
            </w:r>
          </w:p>
        </w:tc>
      </w:tr>
      <w:tr>
        <w:trPr/>
        <w:tc>
          <w:tcPr>
            <w:tcW w:w="70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r>
      <w:tr>
        <w:trPr/>
        <w:tc>
          <w:tcPr>
            <w:tcW w:w="7050" w:type="dxa"/>
            <w:tcBorders/>
            <w:vAlign w:val="center"/>
          </w:tcPr>
          <w:p>
            <w:pPr>
              <w:pStyle w:val="TableContents"/>
              <w:bidi w:val="0"/>
              <w:spacing w:before="0" w:after="283"/>
              <w:jc w:val="left"/>
              <w:rPr/>
            </w:pPr>
            <w:r>
              <w:rPr/>
              <w:t>CASH FLOWS FROM OPERATING ACTIVITIES</w:t>
            </w:r>
          </w:p>
        </w:tc>
        <w:tc>
          <w:tcPr>
            <w:tcW w:w="15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Net Loss</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(1,305,000</w:t>
            </w:r>
          </w:p>
        </w:tc>
        <w:tc>
          <w:tcPr>
            <w:tcW w:w="15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(1,366,000</w:t>
            </w:r>
          </w:p>
        </w:tc>
        <w:tc>
          <w:tcPr>
            <w:tcW w:w="195" w:type="dxa"/>
            <w:tcBorders/>
            <w:shd w:fill="CCEEFF" w:val="clear"/>
            <w:vAlign w:val="center"/>
          </w:tcPr>
          <w:p>
            <w:pPr>
              <w:pStyle w:val="TableContents"/>
              <w:bidi w:val="0"/>
              <w:spacing w:before="0" w:after="283"/>
              <w:jc w:val="left"/>
              <w:rPr/>
            </w:pPr>
            <w:r>
              <w:rPr/>
              <w:t>)</w:t>
            </w:r>
          </w:p>
        </w:tc>
      </w:tr>
      <w:tr>
        <w:trPr/>
        <w:tc>
          <w:tcPr>
            <w:tcW w:w="7050" w:type="dxa"/>
            <w:tcBorders/>
            <w:shd w:fill="FFFFFF" w:val="clear"/>
            <w:vAlign w:val="center"/>
          </w:tcPr>
          <w:p>
            <w:pPr>
              <w:pStyle w:val="TableContents"/>
              <w:bidi w:val="0"/>
              <w:spacing w:before="0" w:after="283"/>
              <w:jc w:val="left"/>
              <w:rPr/>
            </w:pPr>
            <w:r>
              <w:rPr/>
              <w:t>Adjustments to reconcile net loss to net cash provided by operating activities</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Depreciation of property and equipment</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2,499,000</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2,072,000</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Stock-based Compensation</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1,047,000</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797,000</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Amortization of Finance Lease Right-of-Use Assets</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197,000</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176,000</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Amortization of Operating Lease Right-of-Use Assets</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676,000</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676,000</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Deferred gain on sale of real estate</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(39,000</w:t>
            </w:r>
          </w:p>
        </w:tc>
        <w:tc>
          <w:tcPr>
            <w:tcW w:w="15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(38,000</w:t>
            </w:r>
          </w:p>
        </w:tc>
        <w:tc>
          <w:tcPr>
            <w:tcW w:w="195" w:type="dxa"/>
            <w:tcBorders/>
            <w:shd w:fill="CCEEFF" w:val="clear"/>
            <w:vAlign w:val="center"/>
          </w:tcPr>
          <w:p>
            <w:pPr>
              <w:pStyle w:val="TableContents"/>
              <w:bidi w:val="0"/>
              <w:spacing w:before="0" w:after="283"/>
              <w:jc w:val="left"/>
              <w:rPr/>
            </w:pPr>
            <w:r>
              <w:rPr/>
              <w:t>)</w:t>
            </w:r>
          </w:p>
        </w:tc>
      </w:tr>
      <w:tr>
        <w:trPr/>
        <w:tc>
          <w:tcPr>
            <w:tcW w:w="7050" w:type="dxa"/>
            <w:tcBorders/>
            <w:shd w:fill="FFFFFF" w:val="clear"/>
            <w:vAlign w:val="center"/>
          </w:tcPr>
          <w:p>
            <w:pPr>
              <w:pStyle w:val="TableContents"/>
              <w:bidi w:val="0"/>
              <w:spacing w:before="0" w:after="283"/>
              <w:jc w:val="left"/>
              <w:rPr/>
            </w:pPr>
            <w:r>
              <w:rPr/>
              <w:t>(Gain)/Loss on sale of equipment</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(68,000</w:t>
            </w:r>
          </w:p>
        </w:tc>
        <w:tc>
          <w:tcPr>
            <w:tcW w:w="150" w:type="dxa"/>
            <w:tcBorders/>
            <w:shd w:fill="FFFFFF" w:val="clear"/>
            <w:vAlign w:val="center"/>
          </w:tcPr>
          <w:p>
            <w:pPr>
              <w:pStyle w:val="TableContents"/>
              <w:bidi w:val="0"/>
              <w:spacing w:before="0" w:after="283"/>
              <w:jc w:val="left"/>
              <w:rPr/>
            </w:pPr>
            <w:r>
              <w:rPr/>
              <w:t>)</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(15,000</w:t>
            </w:r>
          </w:p>
        </w:tc>
        <w:tc>
          <w:tcPr>
            <w:tcW w:w="195" w:type="dxa"/>
            <w:tcBorders/>
            <w:shd w:fill="FFFFFF" w:val="clear"/>
            <w:vAlign w:val="center"/>
          </w:tcPr>
          <w:p>
            <w:pPr>
              <w:pStyle w:val="TableContents"/>
              <w:bidi w:val="0"/>
              <w:spacing w:before="0" w:after="283"/>
              <w:jc w:val="left"/>
              <w:rPr/>
            </w:pPr>
            <w:r>
              <w:rPr/>
              <w:t>)</w:t>
            </w:r>
          </w:p>
        </w:tc>
      </w:tr>
      <w:tr>
        <w:trPr/>
        <w:tc>
          <w:tcPr>
            <w:tcW w:w="7050" w:type="dxa"/>
            <w:tcBorders/>
            <w:shd w:fill="CCEEFF" w:val="clear"/>
            <w:vAlign w:val="center"/>
          </w:tcPr>
          <w:p>
            <w:pPr>
              <w:pStyle w:val="TableContents"/>
              <w:bidi w:val="0"/>
              <w:spacing w:before="0" w:after="283"/>
              <w:jc w:val="left"/>
              <w:rPr/>
            </w:pPr>
            <w:r>
              <w:rPr/>
              <w:t>Allowances for Credit Losses</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68,000</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52,000</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Amortization of deferred financing costs</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69,000</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68,000</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Changes in Operating Assets and Liabilities</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(Increase) Decrease in Operating Assets:</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Accounts receivable</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1,761,000</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(1,060,000</w:t>
            </w:r>
          </w:p>
        </w:tc>
        <w:tc>
          <w:tcPr>
            <w:tcW w:w="195" w:type="dxa"/>
            <w:tcBorders/>
            <w:shd w:fill="CCEEFF" w:val="clear"/>
            <w:vAlign w:val="center"/>
          </w:tcPr>
          <w:p>
            <w:pPr>
              <w:pStyle w:val="TableContents"/>
              <w:bidi w:val="0"/>
              <w:spacing w:before="0" w:after="283"/>
              <w:jc w:val="left"/>
              <w:rPr/>
            </w:pPr>
            <w:r>
              <w:rPr/>
              <w:t>)</w:t>
            </w:r>
          </w:p>
        </w:tc>
      </w:tr>
      <w:tr>
        <w:trPr/>
        <w:tc>
          <w:tcPr>
            <w:tcW w:w="7050" w:type="dxa"/>
            <w:tcBorders/>
            <w:shd w:fill="FFFFFF" w:val="clear"/>
            <w:vAlign w:val="center"/>
          </w:tcPr>
          <w:p>
            <w:pPr>
              <w:pStyle w:val="TableContents"/>
              <w:bidi w:val="0"/>
              <w:spacing w:before="0" w:after="283"/>
              <w:jc w:val="left"/>
              <w:rPr/>
            </w:pPr>
            <w:r>
              <w:rPr/>
              <w:t>Inventory</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(5,450,000</w:t>
            </w:r>
          </w:p>
        </w:tc>
        <w:tc>
          <w:tcPr>
            <w:tcW w:w="150" w:type="dxa"/>
            <w:tcBorders/>
            <w:shd w:fill="FFFFFF" w:val="clear"/>
            <w:vAlign w:val="center"/>
          </w:tcPr>
          <w:p>
            <w:pPr>
              <w:pStyle w:val="TableContents"/>
              <w:bidi w:val="0"/>
              <w:spacing w:before="0" w:after="283"/>
              <w:jc w:val="left"/>
              <w:rPr/>
            </w:pPr>
            <w:r>
              <w:rPr/>
              <w:t>)</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1,040,000</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Prepaid expenses and other current assets</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(395,000</w:t>
            </w:r>
          </w:p>
        </w:tc>
        <w:tc>
          <w:tcPr>
            <w:tcW w:w="15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(74,000</w:t>
            </w:r>
          </w:p>
        </w:tc>
        <w:tc>
          <w:tcPr>
            <w:tcW w:w="195" w:type="dxa"/>
            <w:tcBorders/>
            <w:shd w:fill="CCEEFF" w:val="clear"/>
            <w:vAlign w:val="center"/>
          </w:tcPr>
          <w:p>
            <w:pPr>
              <w:pStyle w:val="TableContents"/>
              <w:bidi w:val="0"/>
              <w:spacing w:before="0" w:after="283"/>
              <w:jc w:val="left"/>
              <w:rPr/>
            </w:pPr>
            <w:r>
              <w:rPr/>
              <w:t>)</w:t>
            </w:r>
          </w:p>
        </w:tc>
      </w:tr>
      <w:tr>
        <w:trPr/>
        <w:tc>
          <w:tcPr>
            <w:tcW w:w="7050" w:type="dxa"/>
            <w:tcBorders/>
            <w:shd w:fill="FFFFFF" w:val="clear"/>
            <w:vAlign w:val="center"/>
          </w:tcPr>
          <w:p>
            <w:pPr>
              <w:pStyle w:val="TableContents"/>
              <w:bidi w:val="0"/>
              <w:spacing w:before="0" w:after="283"/>
              <w:jc w:val="left"/>
              <w:rPr/>
            </w:pPr>
            <w:r>
              <w:rPr/>
              <w:t>Contract costs receivable</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296,000</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Prepaid taxes</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(20,000</w:t>
            </w:r>
          </w:p>
        </w:tc>
        <w:tc>
          <w:tcPr>
            <w:tcW w:w="15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(19,000</w:t>
            </w:r>
          </w:p>
        </w:tc>
        <w:tc>
          <w:tcPr>
            <w:tcW w:w="195" w:type="dxa"/>
            <w:tcBorders/>
            <w:shd w:fill="CCEEFF" w:val="clear"/>
            <w:vAlign w:val="center"/>
          </w:tcPr>
          <w:p>
            <w:pPr>
              <w:pStyle w:val="TableContents"/>
              <w:bidi w:val="0"/>
              <w:spacing w:before="0" w:after="283"/>
              <w:jc w:val="left"/>
              <w:rPr/>
            </w:pPr>
            <w:r>
              <w:rPr/>
              <w:t>)</w:t>
            </w:r>
          </w:p>
        </w:tc>
      </w:tr>
      <w:tr>
        <w:trPr/>
        <w:tc>
          <w:tcPr>
            <w:tcW w:w="7050" w:type="dxa"/>
            <w:tcBorders/>
            <w:shd w:fill="FFFFFF" w:val="clear"/>
            <w:vAlign w:val="center"/>
          </w:tcPr>
          <w:p>
            <w:pPr>
              <w:pStyle w:val="TableContents"/>
              <w:bidi w:val="0"/>
              <w:spacing w:before="0" w:after="283"/>
              <w:jc w:val="left"/>
              <w:rPr/>
            </w:pPr>
            <w:r>
              <w:rPr/>
              <w:t>Deposits and other assets</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29,000</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375,000</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Increase (Decrease) in Operating Liabilities:</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Accounts payable and accrued expenses</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888,000</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961,000</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Operating lease liabilities</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(881,000</w:t>
            </w:r>
          </w:p>
        </w:tc>
        <w:tc>
          <w:tcPr>
            <w:tcW w:w="15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(879,000</w:t>
            </w:r>
          </w:p>
        </w:tc>
        <w:tc>
          <w:tcPr>
            <w:tcW w:w="195" w:type="dxa"/>
            <w:tcBorders/>
            <w:shd w:fill="CCEEFF" w:val="clear"/>
            <w:vAlign w:val="center"/>
          </w:tcPr>
          <w:p>
            <w:pPr>
              <w:pStyle w:val="TableContents"/>
              <w:bidi w:val="0"/>
              <w:spacing w:before="0" w:after="283"/>
              <w:jc w:val="left"/>
              <w:rPr/>
            </w:pPr>
            <w:r>
              <w:rPr/>
              <w:t>)</w:t>
            </w:r>
          </w:p>
        </w:tc>
      </w:tr>
      <w:tr>
        <w:trPr/>
        <w:tc>
          <w:tcPr>
            <w:tcW w:w="7050" w:type="dxa"/>
            <w:tcBorders/>
            <w:shd w:fill="FFFFFF" w:val="clear"/>
            <w:vAlign w:val="center"/>
          </w:tcPr>
          <w:p>
            <w:pPr>
              <w:pStyle w:val="TableContents"/>
              <w:bidi w:val="0"/>
              <w:spacing w:before="0" w:after="283"/>
              <w:jc w:val="left"/>
              <w:rPr/>
            </w:pPr>
            <w:r>
              <w:rPr/>
              <w:t>Customer deposits</w:t>
            </w:r>
          </w:p>
        </w:tc>
        <w:tc>
          <w:tcPr>
            <w:tcW w:w="15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(724,000</w:t>
            </w:r>
          </w:p>
        </w:tc>
        <w:tc>
          <w:tcPr>
            <w:tcW w:w="150" w:type="dxa"/>
            <w:tcBorders/>
            <w:shd w:fill="FFFFFF" w:val="clear"/>
            <w:vAlign w:val="center"/>
          </w:tcPr>
          <w:p>
            <w:pPr>
              <w:pStyle w:val="TableContents"/>
              <w:bidi w:val="0"/>
              <w:spacing w:before="0" w:after="283"/>
              <w:jc w:val="left"/>
              <w:rPr/>
            </w:pPr>
            <w:r>
              <w:rPr/>
              <w:t>)</w:t>
            </w:r>
          </w:p>
        </w:tc>
        <w:tc>
          <w:tcPr>
            <w:tcW w:w="15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(2,442,000</w:t>
            </w:r>
          </w:p>
        </w:tc>
        <w:tc>
          <w:tcPr>
            <w:tcW w:w="195" w:type="dxa"/>
            <w:tcBorders/>
            <w:shd w:fill="FFFFFF" w:val="clear"/>
            <w:vAlign w:val="center"/>
          </w:tcPr>
          <w:p>
            <w:pPr>
              <w:pStyle w:val="TableContents"/>
              <w:bidi w:val="0"/>
              <w:spacing w:before="0" w:after="283"/>
              <w:jc w:val="left"/>
              <w:rPr/>
            </w:pPr>
            <w:r>
              <w:rPr/>
              <w:t>)</w:t>
            </w:r>
          </w:p>
        </w:tc>
      </w:tr>
      <w:tr>
        <w:trPr/>
        <w:tc>
          <w:tcPr>
            <w:tcW w:w="7050" w:type="dxa"/>
            <w:tcBorders/>
            <w:shd w:fill="CCEEFF" w:val="clear"/>
            <w:vAlign w:val="center"/>
          </w:tcPr>
          <w:p>
            <w:pPr>
              <w:pStyle w:val="TableContents"/>
              <w:bidi w:val="0"/>
              <w:spacing w:before="0" w:after="283"/>
              <w:jc w:val="left"/>
              <w:rPr/>
            </w:pPr>
            <w:r>
              <w:rPr/>
              <w:t>NET CASH (USED IN) PROVIDED BY OPERATING ACTIVITIES</w:t>
            </w:r>
          </w:p>
        </w:tc>
        <w:tc>
          <w:tcPr>
            <w:tcW w:w="15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(1,352,000</w:t>
            </w:r>
          </w:p>
        </w:tc>
        <w:tc>
          <w:tcPr>
            <w:tcW w:w="15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324,000</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CASH FLOWS FROM INVESTING ACTIVITIES</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Purchase of property and equipment</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(3,322,000</w:t>
            </w:r>
          </w:p>
        </w:tc>
        <w:tc>
          <w:tcPr>
            <w:tcW w:w="150" w:type="dxa"/>
            <w:tcBorders/>
            <w:shd w:fill="FFFFFF" w:val="clear"/>
            <w:vAlign w:val="center"/>
          </w:tcPr>
          <w:p>
            <w:pPr>
              <w:pStyle w:val="TableContents"/>
              <w:bidi w:val="0"/>
              <w:spacing w:before="0" w:after="283"/>
              <w:jc w:val="left"/>
              <w:rPr/>
            </w:pPr>
            <w:r>
              <w:rPr/>
              <w:t>)</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(2,301,000</w:t>
            </w:r>
          </w:p>
        </w:tc>
        <w:tc>
          <w:tcPr>
            <w:tcW w:w="195" w:type="dxa"/>
            <w:tcBorders/>
            <w:shd w:fill="FFFFFF" w:val="clear"/>
            <w:vAlign w:val="center"/>
          </w:tcPr>
          <w:p>
            <w:pPr>
              <w:pStyle w:val="TableContents"/>
              <w:bidi w:val="0"/>
              <w:spacing w:before="0" w:after="283"/>
              <w:jc w:val="left"/>
              <w:rPr/>
            </w:pPr>
            <w:r>
              <w:rPr/>
              <w:t>)</w:t>
            </w:r>
          </w:p>
        </w:tc>
      </w:tr>
      <w:tr>
        <w:trPr/>
        <w:tc>
          <w:tcPr>
            <w:tcW w:w="7050" w:type="dxa"/>
            <w:tcBorders/>
            <w:shd w:fill="CCEEFF" w:val="clear"/>
            <w:vAlign w:val="center"/>
          </w:tcPr>
          <w:p>
            <w:pPr>
              <w:pStyle w:val="TableContents"/>
              <w:bidi w:val="0"/>
              <w:spacing w:before="0" w:after="283"/>
              <w:jc w:val="left"/>
              <w:rPr/>
            </w:pPr>
            <w:r>
              <w:rPr/>
              <w:t>Proceeds from sale of fixed assets</w:t>
            </w:r>
          </w:p>
        </w:tc>
        <w:tc>
          <w:tcPr>
            <w:tcW w:w="15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200,000</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16,000</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NET CASH USED IN INVESTING ACTIVITIES</w:t>
            </w:r>
          </w:p>
        </w:tc>
        <w:tc>
          <w:tcPr>
            <w:tcW w:w="15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(3,122,000</w:t>
            </w:r>
          </w:p>
        </w:tc>
        <w:tc>
          <w:tcPr>
            <w:tcW w:w="150" w:type="dxa"/>
            <w:tcBorders/>
            <w:shd w:fill="FFFFFF" w:val="clear"/>
            <w:vAlign w:val="center"/>
          </w:tcPr>
          <w:p>
            <w:pPr>
              <w:pStyle w:val="TableContents"/>
              <w:bidi w:val="0"/>
              <w:spacing w:before="0" w:after="283"/>
              <w:jc w:val="left"/>
              <w:rPr/>
            </w:pPr>
            <w:r>
              <w:rPr/>
              <w:t>)</w:t>
            </w:r>
          </w:p>
        </w:tc>
        <w:tc>
          <w:tcPr>
            <w:tcW w:w="15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(2,285,000</w:t>
            </w:r>
          </w:p>
        </w:tc>
        <w:tc>
          <w:tcPr>
            <w:tcW w:w="195" w:type="dxa"/>
            <w:tcBorders/>
            <w:shd w:fill="FFFFFF" w:val="clear"/>
            <w:vAlign w:val="center"/>
          </w:tcPr>
          <w:p>
            <w:pPr>
              <w:pStyle w:val="TableContents"/>
              <w:bidi w:val="0"/>
              <w:spacing w:before="0" w:after="283"/>
              <w:jc w:val="left"/>
              <w:rPr/>
            </w:pPr>
            <w:r>
              <w:rPr/>
              <w:t>)</w:t>
            </w:r>
          </w:p>
        </w:tc>
      </w:tr>
      <w:tr>
        <w:trPr/>
        <w:tc>
          <w:tcPr>
            <w:tcW w:w="70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CASH FLOWS FROM FINANCING ACTIVITIES</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Note payable - revolver - net - Current Credit Facility</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4,713,000</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2,101,000</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Proceeds from term loan - Current Credit Facility</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1,640,000</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1,006,000</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Proceeds from term loan - Solar Facility</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8,000</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Net proceeds from Common Stock issued for cash</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4,638,000</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327,000</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Payments for taxes related to net share settlement of equity awards</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(127,000</w:t>
            </w:r>
          </w:p>
        </w:tc>
        <w:tc>
          <w:tcPr>
            <w:tcW w:w="15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Payments of subordinated Notes - Related party</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(1,291,000</w:t>
            </w:r>
          </w:p>
        </w:tc>
        <w:tc>
          <w:tcPr>
            <w:tcW w:w="150" w:type="dxa"/>
            <w:tcBorders/>
            <w:shd w:fill="FFFFFF" w:val="clear"/>
            <w:vAlign w:val="center"/>
          </w:tcPr>
          <w:p>
            <w:pPr>
              <w:pStyle w:val="TableContents"/>
              <w:bidi w:val="0"/>
              <w:spacing w:before="0" w:after="283"/>
              <w:jc w:val="left"/>
              <w:rPr/>
            </w:pPr>
            <w:r>
              <w:rPr/>
              <w:t>)</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0"/>
              <w:jc w:val="right"/>
              <w:rPr/>
            </w:pPr>
            <w:r>
              <w:rPr/>
              <w:t>-</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Payments of term loan - Current Credit Facility</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(1,010,000</w:t>
            </w:r>
          </w:p>
        </w:tc>
        <w:tc>
          <w:tcPr>
            <w:tcW w:w="15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(869,000</w:t>
            </w:r>
          </w:p>
        </w:tc>
        <w:tc>
          <w:tcPr>
            <w:tcW w:w="195" w:type="dxa"/>
            <w:tcBorders/>
            <w:shd w:fill="CCEEFF" w:val="clear"/>
            <w:vAlign w:val="center"/>
          </w:tcPr>
          <w:p>
            <w:pPr>
              <w:pStyle w:val="TableContents"/>
              <w:bidi w:val="0"/>
              <w:spacing w:before="0" w:after="283"/>
              <w:jc w:val="left"/>
              <w:rPr/>
            </w:pPr>
            <w:r>
              <w:rPr/>
              <w:t>)</w:t>
            </w:r>
          </w:p>
        </w:tc>
      </w:tr>
      <w:tr>
        <w:trPr/>
        <w:tc>
          <w:tcPr>
            <w:tcW w:w="7050" w:type="dxa"/>
            <w:tcBorders/>
            <w:shd w:fill="FFFFFF" w:val="clear"/>
            <w:vAlign w:val="center"/>
          </w:tcPr>
          <w:p>
            <w:pPr>
              <w:pStyle w:val="TableContents"/>
              <w:bidi w:val="0"/>
              <w:spacing w:before="0" w:after="283"/>
              <w:jc w:val="left"/>
              <w:rPr/>
            </w:pPr>
            <w:r>
              <w:rPr/>
              <w:t>Payments of finance lease obligations</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(223,000</w:t>
            </w:r>
          </w:p>
        </w:tc>
        <w:tc>
          <w:tcPr>
            <w:tcW w:w="150" w:type="dxa"/>
            <w:tcBorders/>
            <w:shd w:fill="FFFFFF" w:val="clear"/>
            <w:vAlign w:val="center"/>
          </w:tcPr>
          <w:p>
            <w:pPr>
              <w:pStyle w:val="TableContents"/>
              <w:bidi w:val="0"/>
              <w:spacing w:before="0" w:after="283"/>
              <w:jc w:val="left"/>
              <w:rPr/>
            </w:pPr>
            <w:r>
              <w:rPr/>
              <w:t>)</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(196,000</w:t>
            </w:r>
          </w:p>
        </w:tc>
        <w:tc>
          <w:tcPr>
            <w:tcW w:w="195" w:type="dxa"/>
            <w:tcBorders/>
            <w:shd w:fill="FFFFFF" w:val="clear"/>
            <w:vAlign w:val="center"/>
          </w:tcPr>
          <w:p>
            <w:pPr>
              <w:pStyle w:val="TableContents"/>
              <w:bidi w:val="0"/>
              <w:spacing w:before="0" w:after="283"/>
              <w:jc w:val="left"/>
              <w:rPr/>
            </w:pPr>
            <w:r>
              <w:rPr/>
              <w:t>)</w:t>
            </w:r>
          </w:p>
        </w:tc>
      </w:tr>
      <w:tr>
        <w:trPr/>
        <w:tc>
          <w:tcPr>
            <w:tcW w:w="7050" w:type="dxa"/>
            <w:tcBorders/>
            <w:shd w:fill="CCEEFF" w:val="clear"/>
            <w:vAlign w:val="center"/>
          </w:tcPr>
          <w:p>
            <w:pPr>
              <w:pStyle w:val="TableContents"/>
              <w:bidi w:val="0"/>
              <w:spacing w:before="0" w:after="283"/>
              <w:jc w:val="left"/>
              <w:rPr/>
            </w:pPr>
            <w:r>
              <w:rPr/>
              <w:t>Payments of loan payable - financed asset</w:t>
            </w:r>
          </w:p>
        </w:tc>
        <w:tc>
          <w:tcPr>
            <w:tcW w:w="15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(9,000</w:t>
            </w:r>
          </w:p>
        </w:tc>
        <w:tc>
          <w:tcPr>
            <w:tcW w:w="15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(9,000</w:t>
            </w:r>
          </w:p>
        </w:tc>
        <w:tc>
          <w:tcPr>
            <w:tcW w:w="195" w:type="dxa"/>
            <w:tcBorders/>
            <w:shd w:fill="CCEEFF" w:val="clear"/>
            <w:vAlign w:val="center"/>
          </w:tcPr>
          <w:p>
            <w:pPr>
              <w:pStyle w:val="TableContents"/>
              <w:bidi w:val="0"/>
              <w:spacing w:before="0" w:after="283"/>
              <w:jc w:val="left"/>
              <w:rPr/>
            </w:pPr>
            <w:r>
              <w:rPr/>
              <w:t>)</w:t>
            </w:r>
          </w:p>
        </w:tc>
      </w:tr>
      <w:tr>
        <w:trPr/>
        <w:tc>
          <w:tcPr>
            <w:tcW w:w="7050" w:type="dxa"/>
            <w:tcBorders/>
            <w:shd w:fill="FFFFFF" w:val="clear"/>
            <w:vAlign w:val="center"/>
          </w:tcPr>
          <w:p>
            <w:pPr>
              <w:pStyle w:val="TableContents"/>
              <w:bidi w:val="0"/>
              <w:spacing w:before="0" w:after="283"/>
              <w:jc w:val="left"/>
              <w:rPr/>
            </w:pPr>
            <w:r>
              <w:rPr/>
              <w:t>NET CASH PROVIDED BY FINANCING ACTIVITIES</w:t>
            </w:r>
          </w:p>
        </w:tc>
        <w:tc>
          <w:tcPr>
            <w:tcW w:w="15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8,331,000</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2,368,000</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NET INCREASE IN CASH</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3,857,000</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407,000</w:t>
            </w:r>
          </w:p>
        </w:tc>
        <w:tc>
          <w:tcPr>
            <w:tcW w:w="195" w:type="dxa"/>
            <w:tcBorders/>
            <w:shd w:fill="FFFFFF" w:val="clear"/>
            <w:vAlign w:val="center"/>
          </w:tcPr>
          <w:p>
            <w:pPr>
              <w:pStyle w:val="TableContents"/>
              <w:bidi w:val="0"/>
              <w:spacing w:before="0" w:after="283"/>
              <w:jc w:val="left"/>
              <w:rPr/>
            </w:pPr>
            <w:r>
              <w:rPr/>
              <w:t> </w:t>
            </w:r>
          </w:p>
        </w:tc>
      </w:tr>
      <w:tr>
        <w:trPr/>
        <w:tc>
          <w:tcPr>
            <w:tcW w:w="7050" w:type="dxa"/>
            <w:tcBorders/>
            <w:shd w:fill="CCEEFF" w:val="clear"/>
            <w:vAlign w:val="center"/>
          </w:tcPr>
          <w:p>
            <w:pPr>
              <w:pStyle w:val="TableContents"/>
              <w:bidi w:val="0"/>
              <w:spacing w:before="0" w:after="283"/>
              <w:jc w:val="left"/>
              <w:rPr/>
            </w:pPr>
            <w:r>
              <w:rPr/>
              <w:t>CASH AT BEGINNING OF YEAR</w:t>
            </w:r>
          </w:p>
        </w:tc>
        <w:tc>
          <w:tcPr>
            <w:tcW w:w="15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753,000</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346,000</w:t>
            </w:r>
          </w:p>
        </w:tc>
        <w:tc>
          <w:tcPr>
            <w:tcW w:w="195" w:type="dxa"/>
            <w:tcBorders/>
            <w:shd w:fill="CCEEFF" w:val="clear"/>
            <w:vAlign w:val="center"/>
          </w:tcPr>
          <w:p>
            <w:pPr>
              <w:pStyle w:val="TableContents"/>
              <w:bidi w:val="0"/>
              <w:spacing w:before="0" w:after="283"/>
              <w:jc w:val="left"/>
              <w:rPr/>
            </w:pPr>
            <w:r>
              <w:rPr/>
              <w:t> </w:t>
            </w:r>
          </w:p>
        </w:tc>
      </w:tr>
      <w:tr>
        <w:trPr/>
        <w:tc>
          <w:tcPr>
            <w:tcW w:w="7050" w:type="dxa"/>
            <w:tcBorders/>
            <w:shd w:fill="FFFFFF" w:val="clear"/>
            <w:vAlign w:val="center"/>
          </w:tcPr>
          <w:p>
            <w:pPr>
              <w:pStyle w:val="TableContents"/>
              <w:bidi w:val="0"/>
              <w:spacing w:before="0" w:after="283"/>
              <w:jc w:val="left"/>
              <w:rPr/>
            </w:pPr>
            <w:r>
              <w:rPr/>
              <w:t>CASH AT END OF YEAR</w:t>
            </w:r>
          </w:p>
        </w:tc>
        <w:tc>
          <w:tcPr>
            <w:tcW w:w="15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FFFFFF" w:val="clear"/>
            <w:tcMar>
              <w:bottom w:w="28" w:type="dxa"/>
            </w:tcMar>
            <w:vAlign w:val="center"/>
          </w:tcPr>
          <w:p>
            <w:pPr>
              <w:pStyle w:val="TableContents"/>
              <w:bidi w:val="0"/>
              <w:spacing w:before="0" w:after="283"/>
              <w:jc w:val="right"/>
              <w:rPr/>
            </w:pPr>
            <w:r>
              <w:rPr/>
              <w:t>4,610,000</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FFFFFF" w:val="clear"/>
            <w:tcMar>
              <w:bottom w:w="28" w:type="dxa"/>
            </w:tcMar>
            <w:vAlign w:val="center"/>
          </w:tcPr>
          <w:p>
            <w:pPr>
              <w:pStyle w:val="TableContents"/>
              <w:bidi w:val="0"/>
              <w:spacing w:before="0" w:after="283"/>
              <w:jc w:val="right"/>
              <w:rPr/>
            </w:pPr>
            <w:r>
              <w:rPr/>
              <w:t>753,000</w:t>
            </w:r>
          </w:p>
        </w:tc>
        <w:tc>
          <w:tcPr>
            <w:tcW w:w="1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F_034"/>
      <w:bookmarkEnd w:id="35"/>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br/>
        <w:t>For the Years Ended December 31, (Continued) </w:t>
      </w:r>
    </w:p>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3560"/>
        <w:gridCol w:w="90"/>
        <w:gridCol w:w="170"/>
        <w:gridCol w:w="1010"/>
        <w:gridCol w:w="90"/>
        <w:gridCol w:w="90"/>
        <w:gridCol w:w="170"/>
        <w:gridCol w:w="1010"/>
        <w:gridCol w:w="135"/>
      </w:tblGrid>
      <w:tr>
        <w:trPr/>
        <w:tc>
          <w:tcPr>
            <w:tcW w:w="3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Supplemental cash flow information</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Cash paid during the year for interest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1,829,000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1,849,000</w:t>
            </w:r>
          </w:p>
        </w:tc>
        <w:tc>
          <w:tcPr>
            <w:tcW w:w="13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Cash paid during the year for taxes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21,000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20,000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545"/>
        <w:gridCol w:w="90"/>
        <w:gridCol w:w="170"/>
        <w:gridCol w:w="485"/>
        <w:gridCol w:w="90"/>
        <w:gridCol w:w="90"/>
        <w:gridCol w:w="170"/>
        <w:gridCol w:w="830"/>
        <w:gridCol w:w="135"/>
      </w:tblGrid>
      <w:tr>
        <w:trPr/>
        <w:tc>
          <w:tcPr>
            <w:tcW w:w="65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pPr>
            <w:r>
              <w:rPr/>
              <w:t>Supplemental Disclosure of non-cash investing and finance activities</w:t>
            </w:r>
          </w:p>
        </w:tc>
        <w:tc>
          <w:tcPr>
            <w:tcW w:w="90" w:type="dxa"/>
            <w:tcBorders/>
            <w:vAlign w:val="center"/>
          </w:tcPr>
          <w:p>
            <w:pPr>
              <w:pStyle w:val="TableContents"/>
              <w:bidi w:val="0"/>
              <w:spacing w:before="0" w:after="283"/>
              <w:jc w:val="left"/>
              <w:rPr/>
            </w:pPr>
            <w:r>
              <w:rPr/>
              <w:t> </w:t>
            </w:r>
          </w:p>
        </w:tc>
        <w:tc>
          <w:tcPr>
            <w:tcW w:w="65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283"/>
              <w:jc w:val="left"/>
              <w:rPr/>
            </w:pPr>
            <w:r>
              <w:rPr/>
              <w:t>Financing from Solar Credit Facility directly to contractor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85" w:type="dxa"/>
            <w:tcBorders>
              <w:bottom w:val="double" w:sz="10" w:space="0" w:color="000000"/>
            </w:tcBorders>
            <w:shd w:fill="CCEEFF" w:val="clear"/>
            <w:tcMar>
              <w:bottom w:w="28" w:type="dxa"/>
            </w:tcM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533,000</w:t>
            </w:r>
          </w:p>
        </w:tc>
        <w:tc>
          <w:tcPr>
            <w:tcW w:w="135"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pPr>
            <w:r>
              <w:rPr/>
              <w:t>Acquisition of financed lease asset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8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pPr>
            <w:r>
              <w:rPr/>
              <w:t>319,000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F_035"/>
      <w:bookmarkEnd w:id="36"/>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 AND 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 is a Nevada corporation (“AIRI”). As of and for the years ended December 31, 2025 and 2024, the accompanying consolidated financial statements presented are those of AIRI, and its wholly-owned subsidiaries; Air Industries Machining Corp. (“AIM”), Nassau Tool Works, Inc. (“NTW”), and the Sterling Engineering Corporation (“Sterling”), (together,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Business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leading manufacturer of precision assemblies and components for large aerospace and defense prime contractors. Its products include landing gears, flight controls, engine mounts and components for aircraft jet engines, ground turbines and other complex machines. Most of its machined components and assemblies are integral to high-profile platforms and named programs including the F-18 Hornet, the E2D Hawkeye, the UH-60 Black Hawk Helicopter, the Geared Turbo-Fan Engine, the CH-53 Helicopter, the F-35 Lighting II (also known as the Joint Strike Fighter) and the F-15 Eagle Tactical Fighter.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direct customers are primarily large aerospace and defense prime contractors. The ultimate end-users for most of its products are the U.S. Government, international governments, and commercial global airlines.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of the Company have been prepared in accordance with generally accepted accounting principles (“GAAP”) in the United States of America and the rules and regulations of the Securities and Exchange Commission. All dollar amounts have been rounded to the nearest whole number. As a result, totals may not sum precisely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and Management’s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debt under the Company’s Current Credit Facility and Related Party Subordinated Notes approximates $28,344,000. The Current Credit Facility is scheduled to expire on September 30, 2026, and the Related Party Subordinated Notes mature on October 1, 2026. These obligations are classified as current liabilities on the consolidated balance sheets as of December 31, 2025. As a result of the aforementioned and rights that the Current Credit Facility lender could exercise, there is substantial doubt about the Company’s ability to continue as a going concern for the twelve months following the date of filing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engaged in constructive discussions with various lenders as the Company has been advised by its lender that it will not renew its Current Credit Facility. While these discussions have been professional and remain ongoing, there can be no assurance that agreements will be reached with existing lenders or through alternative financing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current operations and strategic initiatives, the Company has raised capital through public market sales of its common stock since December 2024 and believes it can continue to access equity markets in future periods. During the year ended December 31, 2025, the Company generated gross proceeds of $4,869,000 through an At The Market (“ATM”) Offering, of which approximately $3,930,000 is restricted for the benefit of the Current Credit Facility lender. In light of ongoing negotiations with all of our lenders and the terms of the Merger Agreement with Tenax, the Company has temporarily paused all equity raising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was in compliance with its minimum Fixed Coverage Charge ratio (“FCCR”) of 1.10x on a quarterly basis as well as the requirement that fixed asset acquisitions not exceed $3,300,000. All other financial and business covenants under the terms its Current Credit Facility were met as of December 31, 2025. The terms of all outstanding indebtedness are discussed further in “Note 8.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maintain a collection account with its lender into which substantially all cash receipts are remitted. Additionally, if the Company were to be in default of its Current Credit Facility the lender could choose to exercise its rights, for example, increasing the rate of interest or refusing to make loans under the revolving portion of the Current Credit Facility and keep the funds remitted to the collection account. If the lender were to raise the rate of interest or exercise other remedies available under the Current Credit Facility, it would adversely impact the Company’s operating results. If the lender were to cease making new loans under the revolving facility or limit availability under the revolving facility, the Company would lack the funds to continue operations or, possibly, expand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recent contract awards, as of December 31, 2025, the Company had total unfilled contract values amounting to $270.1 million (including its $136.8 million in funded backlog plus additional potential funded orders against Long-Term Agreements (“LTAs”). These unfilled contract values support a positive outlook for future growth; however, extended lead times for raw material procurement and the complexity of manufacturing processes are expected to delay revenue acceleration until late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sources its raw material, principally metal casting or forgings, from domestic sources. As such, the Company is generally not exposed to increased prices on imports but would be subject to increased prices if proposed tariffs or disruptions in supply chains resulting from tariffs or other geopolitical events, cause the general level of prices for its products to increase. One component used by the Company on a key commercial aviation program is sourced from China. The Company’s contract with its customer for the product requires the Company to absorb the first five percent (5%) of any cost increases with further increases absorbed by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portion of the Company’s products are used in United States military aviation and as such, changes in the US defense budget are more material to demand than to changes in general economic conditions. However, the Company does have significant exposure in commercial aviation; demand for these products may be reduced if general economic conditions deteriorate reducing demand for commercial air travel.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do not include any adjustments relating to the recoverability and classification of recorded assets or the classification of liabilities that might be necessary should the Company be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accounts of the Company and its wholly-owned subsidiaries. Significant intercompany accounts and transactions have been eliminated in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carried at the original invoice amount less an estimate made for expected credit losses based on a review of all outstanding amounts on a quarterly basis. Management determines the allowance for expected credit losses primarily using historical experience as well as current conditions that affect the collectability of the reported amount. Accounts receivable are written off when deemed uncollectible.  Bad debt expenses are recorded in operating expenses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Inventory Valuation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values inventory at the lower of cost or estimated net realizable value using the first-in first out method. The Company periodically evaluates inventory items not secured by backlog and establishes write-downs to estimated net realizable value for excess quantities, slow-moving goods, obsolescence and for other impairments of value. Adjustments to inventory net realizable value are recorded in cost of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carried at cost net of accumulated depreciation and amortization. Repair and maintenance charges are expensed as incurred. Property, equipment, and improvements are depreciated using the straight-line method over the estimated useful lives of the assets or the particular improvements. Expenditures for repairs and improvements in excess of $10,000 that add to the productive capacity or extend the useful life of an asset are capitalized. Upon disposition, the cost and related accumulated depreciation are removed from the accounts and any related gain or loss is reflected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Long-Lived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There were no events triggering a review for impairment during the years ended December 31, 2025 and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Financing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with obtaining and executing revolving debt arrangements are capitalized and recorded in other Deferred financing costs, net, deposits, and other assets and amortized using the effective interest method over the term of the related debt. Costs incurred with obtaining and executing other debt arrangements are presented as a direct deduction from the carrying value of the associated debt and also amortized using the effective interest method over the term of the related debt. The amortization of financing costs is included in interest expense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Costs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costs receivable represent costs to be reimbursed from a terminated contract. Contract costs receivable totals $0 at December 31, 2025 and $296,000 at December 31, 2024. The Company collected this receivable on March 18,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continuing impacts of rising interest rates, inflation, changes in foreign currency exchange rates and geopolitical developments, such as the ongoing conflict between Russia and Ukraine, the ongoing conflict between Israel and Hamas, and the ongoing conflict between the United States, Israel and Iran, the imposition of tariffs and shifts in international alliances, have resulted, and may continue to result, in a global slowdown of economic activity, which may decrease demand for a broad variety of goods and services, including those provided by the Company’s clients and as a result, the Company, while also disrupting supply channels, sales channels and advertising and marketing activities for an unknown period of time. Additionally, recent changes to U.S. policy implemented by the U.S. Congress, and the Executive Branch and the responses of other nations to such actions have impacted and may in the future impact, among other things, the U.S. and global economy, international alliances and trade relations, unemployment, immigration, healthcare, taxation, the U.S. regulatory environment, inflation and other areas. As a result of the current uncertainty regarding economic activity, the Company is unable to predict the size and duration of the impact on its revenue and its results of operations, if any, of actions taken to date and those that may occur in the future. The extent of the potential impact of these macroeconomic factors on the Company’s operational and financial performance will depend on a variety of factors, including the extent of geopolitical disruption and its impact on the Company’s clients, partners, industry, and employees, all of which are uncertain at this time and cannot be accurately predicted. The Company continues to monitor the effects of these macroeconomic factors and intends to take steps deemed appropriate to limit the impact on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precautionary measures, whether adopted by the Company or imposed by others, will be effective, and such measures could negatively affect its sales, marketing, and client service efforts, delay and lengthen its sales cycles, decrease its employees’, clients’, or partners’ productivity, or create operational or other challenges, any of which could harm its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about which separate discrete financial information is available for evaluation by the operating decision makers, or decision-making group, in making decisions on how to allocate resources and assess performance. The Company operates as a single reportable segment, as the Chief Operating Decision Maker (“CODM”) reviews financial performance and makes decisions on a consolidated basis. (See Note 15.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to depict the transfer of promised goods to customers in an amount that reflects the consideration to which the Company expects to be entitled in exchange for those goods.</w:t>
        <w:br/>
        <w:br/>
        <w:t>Revenue is recognized as the customer obtains control of the goods and services promised in the contract (i.e., performance obligations). In evaluating our contracts with our customers, we have determined that there is no future performance obligation once delivery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fixed-price contracts. Under fixed-price contracts, the Company agrees to perform the specified work for a pre-determined price, which is estimated during the bidding process before the contract is awarded. To the extent actual costs vary from the estimates upon which the price was negotiated, the Company will generate more or less profit or could incur a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products promised in each contract at inception to determine whether the contract should be accounted for as having one or more performance obligations. The Company’s contracts are typically accounted for as one performance obligation. The Company classifies net sales as products on its consolidated statements of operations based on the predominant attributes of the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transaction price for each contract based on the consideration expected to be received for the products being provided under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 contract, the Company estimates the transaction price based on its current rights and does not contemplate future modifications (including unexercised options) or follow-on contracts until they become legally enforceable. Contracts can be subsequently modified to include changes in specifications, requirements or price, which may create new or change existing enforceable rights and obligations. Depending on the nature of the modification, the Company considers whether to account for the modification as an adjustment to the existing contract or as a separate contract. Generally, modifications to contracts are not distinct from the existing contract due to the significant integration and interrelated tasks provided in the context of the contract. Therefore, such modifications are accounted for as if they were part of the existing contract and recognized as a cumulative adjustment to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at the point in time in which the performance obligation is fully satisfied. This is satisfied when the product has shipped, which is the point in time the customer obtains control of the product and the Company no longer maintains control of the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terms and conditions vary by contract, although terms generally include a requirement of payment within 30 to 75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in advance from customers are recorded as customer deposits until earned, at which time revenue is recognized. The Terms and Conditions contained in customer purchase orders often provide for liquidated damages in the event that a stop work or contract termination order is issued prior to final delivery. While the products manufactured are specific to the type of aircraft that they are used on, there are alternate customers that can acquire and utilize these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 are provided on certain contracts, but do not provide for services beyond standard assurances and are therefore not considered to be separate performance obligations. Warranties during the years ended December 31, 2025 and 2024, were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advance payments on certain contracts with the remainder of the contract balance due upon the shipment of the final product once the customer inspects and approves the product for shipment. At that time, the entire amount will be recognized as revenue and the deposit will be applied to the customer’s invoice.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customer deposits were $391,000 and $1,115,000, respectively. The Company recognized revenue of $724,000 during year ended December 31, 2025, that was included in the customer deposits balance as of December 31, 2024. The Company recognized revenue of $2,442,000 during the year ended December 31, 2024, that was included in the customer deposits balance of $3,557,000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represents the value of orders received pursuant to Long-Term Agreements (“LTA”) or spot orders pursuant to a customer purchase order. As of December 31, 2025, backlog relating to remaining performance obligations on contracts was approximately $136.8 million. The Company estimates that a substantial portion of this backlog will be recognized as net sales during the next twenty-four months, with the rest thereafter. This expectation assumes that raw material suppliers and outsourced processing is completed and delivered on time and that the Company’s customers will accept delivery as scheduled. The Company anticipates that sales during the aforementioned periods will also include sales from expected new orders that are not in our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make estimates and assumptions that affect the reported amounts in the financial statements and accompanying notes. The more significant management estimates are inventory valuation, and income tax provision. Actual results could differ from those estimates. Changes in facts and circumstances may result in revised estimates, which are recorded in the period in which they become known.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and Concentration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large percentage of the Company’s revenues are derived directly from large aerospace and defense prime contractors for which the ultimate end-user is the U.S. Government, international governments or commercial airlines.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customers that exceeded 10% of net sales for the years ended December 31, 2025 or 2024 are shown below:</w:t>
      </w:r>
    </w:p>
    <w:p>
      <w:pPr>
        <w:pStyle w:val="TextBody"/>
        <w:bidi w:val="0"/>
        <w:spacing w:before="0" w:after="0"/>
        <w:ind w:left="0" w:right="0" w:hanging="0"/>
        <w:jc w:val="left"/>
        <w:rPr>
          <w:caps w:val="false"/>
          <w:smallCaps w:val="false"/>
        </w:rPr>
      </w:pPr>
      <w:r>
        <w:rPr>
          <w:caps w:val="false"/>
          <w:smallCaps w:val="false"/>
        </w:rPr>
        <w:t> </w:t>
      </w:r>
    </w:p>
    <w:tbl>
      <w:tblPr>
        <w:tblW w:w="4496" w:type="dxa"/>
        <w:jc w:val="left"/>
        <w:tblInd w:w="0" w:type="dxa"/>
        <w:tblLayout w:type="fixed"/>
        <w:tblCellMar>
          <w:top w:w="0" w:type="dxa"/>
          <w:left w:w="0" w:type="dxa"/>
          <w:bottom w:w="0" w:type="dxa"/>
          <w:right w:w="0" w:type="dxa"/>
        </w:tblCellMar>
      </w:tblPr>
      <w:tblGrid>
        <w:gridCol w:w="1700"/>
        <w:gridCol w:w="90"/>
        <w:gridCol w:w="149"/>
        <w:gridCol w:w="781"/>
        <w:gridCol w:w="407"/>
        <w:gridCol w:w="149"/>
        <w:gridCol w:w="149"/>
        <w:gridCol w:w="781"/>
        <w:gridCol w:w="290"/>
      </w:tblGrid>
      <w:tr>
        <w:trPr/>
        <w:tc>
          <w:tcPr>
            <w:tcW w:w="1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Net Sales</w:t>
            </w:r>
          </w:p>
        </w:tc>
        <w:tc>
          <w:tcPr>
            <w:tcW w:w="290" w:type="dxa"/>
            <w:tcBorders/>
            <w:vAlign w:val="center"/>
          </w:tcPr>
          <w:p>
            <w:pPr>
              <w:pStyle w:val="TableContents"/>
              <w:bidi w:val="0"/>
              <w:spacing w:before="0" w:after="283"/>
              <w:jc w:val="left"/>
              <w:rPr/>
            </w:pPr>
            <w:r>
              <w:rPr/>
              <w:t> </w:t>
            </w:r>
          </w:p>
        </w:tc>
      </w:tr>
      <w:tr>
        <w:trPr/>
        <w:tc>
          <w:tcPr>
            <w:tcW w:w="1700" w:type="dxa"/>
            <w:tcBorders>
              <w:bottom w:val="single" w:sz="12" w:space="0" w:color="000000"/>
            </w:tcBorders>
            <w:tcMar>
              <w:bottom w:w="28" w:type="dxa"/>
            </w:tcMar>
            <w:vAlign w:val="center"/>
          </w:tcPr>
          <w:p>
            <w:pPr>
              <w:pStyle w:val="TableContents"/>
              <w:bidi w:val="0"/>
              <w:spacing w:before="0" w:after="283"/>
              <w:jc w:val="left"/>
              <w:rPr>
                <w:b/>
              </w:rPr>
            </w:pPr>
            <w:r>
              <w:rPr>
                <w:b/>
              </w:rPr>
              <w:t>Customer</w:t>
            </w:r>
          </w:p>
        </w:tc>
        <w:tc>
          <w:tcPr>
            <w:tcW w:w="90" w:type="dxa"/>
            <w:tcBorders/>
            <w:vAlign w:val="center"/>
          </w:tcPr>
          <w:p>
            <w:pPr>
              <w:pStyle w:val="TableContents"/>
              <w:bidi w:val="0"/>
              <w:spacing w:before="0" w:after="283"/>
              <w:jc w:val="left"/>
              <w:rPr/>
            </w:pPr>
            <w:r>
              <w:rPr/>
              <w:t> </w:t>
            </w:r>
          </w:p>
        </w:tc>
        <w:tc>
          <w:tcPr>
            <w:tcW w:w="9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07"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RTX </w:t>
            </w:r>
            <w:r>
              <w:rPr>
                <w:rFonts w:ascii="Times New Roman;Times;Serif" w:hAnsi="Times New Roman;Times;Serif"/>
                <w:position w:val="7"/>
                <w:sz w:val="16"/>
                <w:sz w:val="20"/>
              </w:rPr>
              <w:t>(A)</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36.2</w:t>
            </w:r>
          </w:p>
        </w:tc>
        <w:tc>
          <w:tcPr>
            <w:tcW w:w="407" w:type="dxa"/>
            <w:tcBorders/>
            <w:shd w:fill="CCEEFF" w:val="clear"/>
            <w:vAlign w:val="center"/>
          </w:tcPr>
          <w:p>
            <w:pPr>
              <w:pStyle w:val="TableContents"/>
              <w:bidi w:val="0"/>
              <w:spacing w:before="0" w:after="283"/>
              <w:jc w:val="lef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29.3</w:t>
            </w:r>
          </w:p>
        </w:tc>
        <w:tc>
          <w:tcPr>
            <w:tcW w:w="290" w:type="dxa"/>
            <w:tcBorders/>
            <w:shd w:fill="CCEEFF" w:val="clear"/>
            <w:vAlign w:val="center"/>
          </w:tcPr>
          <w:p>
            <w:pPr>
              <w:pStyle w:val="TableContents"/>
              <w:bidi w:val="0"/>
              <w:spacing w:before="0" w:after="283"/>
              <w:jc w:val="left"/>
              <w:rPr/>
            </w:pPr>
            <w:r>
              <w:rPr/>
              <w:t>%</w:t>
            </w:r>
          </w:p>
        </w:tc>
      </w:tr>
      <w:tr>
        <w:trPr/>
        <w:tc>
          <w:tcPr>
            <w:tcW w:w="1700" w:type="dxa"/>
            <w:tcBorders/>
            <w:shd w:fill="FFFFFF" w:val="clear"/>
            <w:vAlign w:val="center"/>
          </w:tcPr>
          <w:p>
            <w:pPr>
              <w:pStyle w:val="TableContents"/>
              <w:bidi w:val="0"/>
              <w:spacing w:before="0" w:after="283"/>
              <w:jc w:val="left"/>
              <w:rPr/>
            </w:pPr>
            <w:r>
              <w:rPr/>
              <w:t>Lockheed Martin</w:t>
            </w:r>
          </w:p>
        </w:tc>
        <w:tc>
          <w:tcPr>
            <w:tcW w:w="9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32.3</w:t>
            </w:r>
          </w:p>
        </w:tc>
        <w:tc>
          <w:tcPr>
            <w:tcW w:w="407" w:type="dxa"/>
            <w:tcBorders/>
            <w:shd w:fill="FFFFFF" w:val="clear"/>
            <w:vAlign w:val="center"/>
          </w:tcPr>
          <w:p>
            <w:pPr>
              <w:pStyle w:val="TableContents"/>
              <w:bidi w:val="0"/>
              <w:spacing w:before="0" w:after="283"/>
              <w:jc w:val="left"/>
              <w:rPr/>
            </w:pPr>
            <w:r>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25.1</w:t>
            </w:r>
          </w:p>
        </w:tc>
        <w:tc>
          <w:tcPr>
            <w:tcW w:w="290" w:type="dxa"/>
            <w:tcBorders/>
            <w:shd w:fill="FFFFFF" w:val="clear"/>
            <w:vAlign w:val="center"/>
          </w:tcPr>
          <w:p>
            <w:pPr>
              <w:pStyle w:val="TableContents"/>
              <w:bidi w:val="0"/>
              <w:spacing w:before="0" w:after="283"/>
              <w:jc w:val="left"/>
              <w:rPr/>
            </w:pPr>
            <w:r>
              <w:rPr/>
              <w:t>%</w:t>
            </w:r>
          </w:p>
        </w:tc>
      </w:tr>
      <w:tr>
        <w:trPr/>
        <w:tc>
          <w:tcPr>
            <w:tcW w:w="1700" w:type="dxa"/>
            <w:tcBorders/>
            <w:shd w:fill="CCEEFF" w:val="clear"/>
            <w:vAlign w:val="center"/>
          </w:tcPr>
          <w:p>
            <w:pPr>
              <w:pStyle w:val="TableContents"/>
              <w:bidi w:val="0"/>
              <w:spacing w:before="0" w:after="283"/>
              <w:jc w:val="left"/>
              <w:rPr/>
            </w:pPr>
            <w:r>
              <w:rPr/>
              <w:t>Northrop</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6.7</w:t>
            </w:r>
          </w:p>
        </w:tc>
        <w:tc>
          <w:tcPr>
            <w:tcW w:w="407" w:type="dxa"/>
            <w:tcBorders/>
            <w:shd w:fill="CCEEFF" w:val="clear"/>
            <w:vAlign w:val="center"/>
          </w:tcPr>
          <w:p>
            <w:pPr>
              <w:pStyle w:val="TableContents"/>
              <w:bidi w:val="0"/>
              <w:spacing w:before="0" w:after="283"/>
              <w:jc w:val="lef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18.3</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RTX includes Collins Landing Systems and Collins Aerostructures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customers that exceeded 10% of accounts receivable at December 31, 2025 or 2024 are shown below:</w:t>
      </w:r>
    </w:p>
    <w:p>
      <w:pPr>
        <w:pStyle w:val="TextBody"/>
        <w:bidi w:val="0"/>
        <w:spacing w:before="0" w:after="0"/>
        <w:ind w:left="0" w:right="0" w:hanging="0"/>
        <w:jc w:val="both"/>
        <w:rPr>
          <w:caps w:val="false"/>
          <w:smallCaps w:val="false"/>
        </w:rPr>
      </w:pPr>
      <w:r>
        <w:rPr>
          <w:caps w:val="false"/>
          <w:smallCaps w:val="false"/>
        </w:rPr>
        <w:t> </w:t>
      </w:r>
    </w:p>
    <w:tbl>
      <w:tblPr>
        <w:tblW w:w="4542" w:type="dxa"/>
        <w:jc w:val="left"/>
        <w:tblInd w:w="0" w:type="dxa"/>
        <w:tblLayout w:type="fixed"/>
        <w:tblCellMar>
          <w:top w:w="0" w:type="dxa"/>
          <w:left w:w="0" w:type="dxa"/>
          <w:bottom w:w="0" w:type="dxa"/>
          <w:right w:w="0" w:type="dxa"/>
        </w:tblCellMar>
      </w:tblPr>
      <w:tblGrid>
        <w:gridCol w:w="1070"/>
        <w:gridCol w:w="90"/>
        <w:gridCol w:w="191"/>
        <w:gridCol w:w="999"/>
        <w:gridCol w:w="521"/>
        <w:gridCol w:w="191"/>
        <w:gridCol w:w="191"/>
        <w:gridCol w:w="999"/>
        <w:gridCol w:w="290"/>
      </w:tblGrid>
      <w:tr>
        <w:trPr/>
        <w:tc>
          <w:tcPr>
            <w:tcW w:w="1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Percentage of Net Receivables</w:t>
            </w:r>
          </w:p>
        </w:tc>
        <w:tc>
          <w:tcPr>
            <w:tcW w:w="290" w:type="dxa"/>
            <w:tcBorders/>
            <w:vAlign w:val="center"/>
          </w:tcPr>
          <w:p>
            <w:pPr>
              <w:pStyle w:val="TableContents"/>
              <w:bidi w:val="0"/>
              <w:spacing w:before="0" w:after="283"/>
              <w:jc w:val="left"/>
              <w:rPr/>
            </w:pPr>
            <w:r>
              <w:rPr/>
              <w:t> </w:t>
            </w:r>
          </w:p>
        </w:tc>
      </w:tr>
      <w:tr>
        <w:trPr/>
        <w:tc>
          <w:tcPr>
            <w:tcW w:w="1070" w:type="dxa"/>
            <w:tcBorders>
              <w:bottom w:val="single" w:sz="12" w:space="0" w:color="000000"/>
            </w:tcBorders>
            <w:tcMar>
              <w:bottom w:w="28" w:type="dxa"/>
            </w:tcMar>
            <w:vAlign w:val="center"/>
          </w:tcPr>
          <w:p>
            <w:pPr>
              <w:pStyle w:val="TableContents"/>
              <w:bidi w:val="0"/>
              <w:spacing w:before="0" w:after="283"/>
              <w:jc w:val="left"/>
              <w:rPr>
                <w:b/>
              </w:rPr>
            </w:pPr>
            <w:r>
              <w:rPr>
                <w:b/>
              </w:rPr>
              <w:t>Customer</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52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52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RTX </w:t>
            </w:r>
            <w:r>
              <w:rPr>
                <w:rFonts w:ascii="Times New Roman;Times;Serif" w:hAnsi="Times New Roman;Times;Serif"/>
                <w:position w:val="7"/>
                <w:sz w:val="16"/>
                <w:sz w:val="20"/>
              </w:rPr>
              <w:t>(A)</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39.8</w:t>
            </w:r>
          </w:p>
        </w:tc>
        <w:tc>
          <w:tcPr>
            <w:tcW w:w="521" w:type="dxa"/>
            <w:tcBorders/>
            <w:shd w:fill="CCEEFF" w:val="clear"/>
            <w:vAlign w:val="center"/>
          </w:tcPr>
          <w:p>
            <w:pPr>
              <w:pStyle w:val="TableContents"/>
              <w:bidi w:val="0"/>
              <w:spacing w:before="0" w:after="283"/>
              <w:jc w:val="left"/>
              <w:rPr/>
            </w:pPr>
            <w:r>
              <w:rPr/>
              <w:t>%</w:t>
            </w:r>
          </w:p>
        </w:tc>
        <w:tc>
          <w:tcPr>
            <w:tcW w:w="1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38.2</w:t>
            </w:r>
          </w:p>
        </w:tc>
        <w:tc>
          <w:tcPr>
            <w:tcW w:w="290" w:type="dxa"/>
            <w:tcBorders/>
            <w:shd w:fill="CCEEFF" w:val="clear"/>
            <w:vAlign w:val="center"/>
          </w:tcPr>
          <w:p>
            <w:pPr>
              <w:pStyle w:val="TableContents"/>
              <w:bidi w:val="0"/>
              <w:spacing w:before="0" w:after="283"/>
              <w:jc w:val="left"/>
              <w:rPr/>
            </w:pPr>
            <w:r>
              <w:rPr/>
              <w:t>%</w:t>
            </w:r>
          </w:p>
        </w:tc>
      </w:tr>
      <w:tr>
        <w:trPr/>
        <w:tc>
          <w:tcPr>
            <w:tcW w:w="1070" w:type="dxa"/>
            <w:tcBorders/>
            <w:shd w:fill="FFFFFF" w:val="clear"/>
            <w:vAlign w:val="center"/>
          </w:tcPr>
          <w:p>
            <w:pPr>
              <w:pStyle w:val="TableContents"/>
              <w:bidi w:val="0"/>
              <w:spacing w:before="0" w:after="283"/>
              <w:jc w:val="left"/>
              <w:rPr/>
            </w:pPr>
            <w:r>
              <w:rPr/>
              <w:t>Lockheed</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11.9</w:t>
            </w:r>
          </w:p>
        </w:tc>
        <w:tc>
          <w:tcPr>
            <w:tcW w:w="521" w:type="dxa"/>
            <w:tcBorders/>
            <w:shd w:fill="FFFFFF" w:val="clear"/>
            <w:vAlign w:val="center"/>
          </w:tcPr>
          <w:p>
            <w:pPr>
              <w:pStyle w:val="TableContents"/>
              <w:bidi w:val="0"/>
              <w:spacing w:before="0" w:after="283"/>
              <w:jc w:val="left"/>
              <w:rPr/>
            </w:pPr>
            <w:r>
              <w:rPr/>
              <w:t>%</w:t>
            </w:r>
          </w:p>
        </w:tc>
        <w:tc>
          <w:tcPr>
            <w:tcW w:w="1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8.6</w:t>
            </w:r>
          </w:p>
        </w:tc>
        <w:tc>
          <w:tcPr>
            <w:tcW w:w="290" w:type="dxa"/>
            <w:tcBorders/>
            <w:shd w:fill="FFFFFF" w:val="clear"/>
            <w:vAlign w:val="center"/>
          </w:tcPr>
          <w:p>
            <w:pPr>
              <w:pStyle w:val="TableContents"/>
              <w:bidi w:val="0"/>
              <w:spacing w:before="0" w:after="283"/>
              <w:jc w:val="left"/>
              <w:rPr/>
            </w:pPr>
            <w:r>
              <w:rPr/>
              <w:t>%</w:t>
            </w:r>
          </w:p>
        </w:tc>
      </w:tr>
      <w:tr>
        <w:trPr/>
        <w:tc>
          <w:tcPr>
            <w:tcW w:w="1070" w:type="dxa"/>
            <w:tcBorders/>
            <w:shd w:fill="CCEEFF" w:val="clear"/>
            <w:vAlign w:val="center"/>
          </w:tcPr>
          <w:p>
            <w:pPr>
              <w:pStyle w:val="TableContents"/>
              <w:bidi w:val="0"/>
              <w:spacing w:before="0" w:after="283"/>
              <w:jc w:val="left"/>
              <w:rPr/>
            </w:pPr>
            <w:r>
              <w:rPr/>
              <w:t>Ontic</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7.6</w:t>
            </w:r>
          </w:p>
        </w:tc>
        <w:tc>
          <w:tcPr>
            <w:tcW w:w="521" w:type="dxa"/>
            <w:tcBorders/>
            <w:shd w:fill="CCEEFF" w:val="clear"/>
            <w:vAlign w:val="center"/>
          </w:tcPr>
          <w:p>
            <w:pPr>
              <w:pStyle w:val="TableContents"/>
              <w:bidi w:val="0"/>
              <w:spacing w:before="0" w:after="283"/>
              <w:jc w:val="left"/>
              <w:rPr/>
            </w:pPr>
            <w:r>
              <w:rPr/>
              <w:t>%</w:t>
            </w:r>
          </w:p>
        </w:tc>
        <w:tc>
          <w:tcPr>
            <w:tcW w:w="1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14.6</w:t>
            </w:r>
          </w:p>
        </w:tc>
        <w:tc>
          <w:tcPr>
            <w:tcW w:w="290" w:type="dxa"/>
            <w:tcBorders/>
            <w:shd w:fill="CCEEFF" w:val="clear"/>
            <w:vAlign w:val="center"/>
          </w:tcPr>
          <w:p>
            <w:pPr>
              <w:pStyle w:val="TableContents"/>
              <w:bidi w:val="0"/>
              <w:spacing w:before="0" w:after="283"/>
              <w:jc w:val="left"/>
              <w:rPr/>
            </w:pPr>
            <w:r>
              <w:rPr/>
              <w:t>%</w:t>
            </w:r>
          </w:p>
        </w:tc>
      </w:tr>
      <w:tr>
        <w:trPr/>
        <w:tc>
          <w:tcPr>
            <w:tcW w:w="1070" w:type="dxa"/>
            <w:tcBorders/>
            <w:shd w:fill="FFFFFF" w:val="clear"/>
            <w:vAlign w:val="center"/>
          </w:tcPr>
          <w:p>
            <w:pPr>
              <w:pStyle w:val="TableContents"/>
              <w:bidi w:val="0"/>
              <w:spacing w:before="0" w:after="283"/>
              <w:jc w:val="left"/>
              <w:rPr/>
            </w:pPr>
            <w:r>
              <w:rPr/>
              <w:t>Northrop</w:t>
            </w:r>
          </w:p>
        </w:tc>
        <w:tc>
          <w:tcPr>
            <w:tcW w:w="9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1.3</w:t>
            </w:r>
          </w:p>
        </w:tc>
        <w:tc>
          <w:tcPr>
            <w:tcW w:w="521" w:type="dxa"/>
            <w:tcBorders/>
            <w:shd w:fill="FFFFFF" w:val="clear"/>
            <w:vAlign w:val="center"/>
          </w:tcPr>
          <w:p>
            <w:pPr>
              <w:pStyle w:val="TableContents"/>
              <w:bidi w:val="0"/>
              <w:spacing w:before="0" w:after="283"/>
              <w:jc w:val="left"/>
              <w:rPr/>
            </w:pPr>
            <w:r>
              <w:rPr/>
              <w:t>%</w:t>
            </w:r>
          </w:p>
        </w:tc>
        <w:tc>
          <w:tcPr>
            <w:tcW w:w="1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11.0</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RTX includes Collins Landing Systems and Collins Aerostructures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from contracts with customers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5593" w:type="dxa"/>
        <w:jc w:val="left"/>
        <w:tblInd w:w="0" w:type="dxa"/>
        <w:tblLayout w:type="fixed"/>
        <w:tblCellMar>
          <w:top w:w="0" w:type="dxa"/>
          <w:left w:w="0" w:type="dxa"/>
          <w:bottom w:w="28" w:type="dxa"/>
          <w:right w:w="0" w:type="dxa"/>
        </w:tblCellMar>
      </w:tblPr>
      <w:tblGrid>
        <w:gridCol w:w="1220"/>
        <w:gridCol w:w="90"/>
        <w:gridCol w:w="259"/>
        <w:gridCol w:w="1725"/>
        <w:gridCol w:w="90"/>
        <w:gridCol w:w="90"/>
        <w:gridCol w:w="259"/>
        <w:gridCol w:w="1725"/>
        <w:gridCol w:w="135"/>
      </w:tblGrid>
      <w:tr>
        <w:trPr/>
        <w:tc>
          <w:tcPr>
            <w:tcW w:w="1220" w:type="dxa"/>
            <w:tcBorders>
              <w:bottom w:val="single" w:sz="12" w:space="0" w:color="000000"/>
            </w:tcBorders>
            <w:vAlign w:val="center"/>
          </w:tcPr>
          <w:p>
            <w:pPr>
              <w:pStyle w:val="TableContents"/>
              <w:bidi w:val="0"/>
              <w:spacing w:before="0" w:after="283"/>
              <w:jc w:val="left"/>
              <w:rPr>
                <w:b/>
              </w:rPr>
            </w:pPr>
            <w:r>
              <w:rPr>
                <w:b/>
              </w:rPr>
              <w:t>Product</w:t>
            </w:r>
          </w:p>
        </w:tc>
        <w:tc>
          <w:tcPr>
            <w:tcW w:w="90" w:type="dxa"/>
            <w:tcBorders/>
            <w:tcMar>
              <w:bottom w:w="0" w:type="dxa"/>
            </w:tcMar>
            <w:vAlign w:val="center"/>
          </w:tcPr>
          <w:p>
            <w:pPr>
              <w:pStyle w:val="TableContents"/>
              <w:bidi w:val="0"/>
              <w:spacing w:before="0" w:after="283"/>
              <w:jc w:val="left"/>
              <w:rPr/>
            </w:pPr>
            <w:r>
              <w:rPr/>
              <w:t> </w:t>
            </w:r>
          </w:p>
        </w:tc>
        <w:tc>
          <w:tcPr>
            <w:tcW w:w="1984" w:type="dxa"/>
            <w:gridSpan w:val="2"/>
            <w:tcBorders>
              <w:bottom w:val="single" w:sz="12" w:space="0" w:color="000000"/>
            </w:tcBorders>
            <w:vAlign w:val="center"/>
          </w:tcPr>
          <w:p>
            <w:pPr>
              <w:pStyle w:val="TableContents"/>
              <w:bidi w:val="0"/>
              <w:spacing w:before="0" w:after="283"/>
              <w:jc w:val="center"/>
              <w:rPr>
                <w:b/>
              </w:rPr>
            </w:pPr>
            <w:r>
              <w:rPr>
                <w:b/>
              </w:rPr>
              <w:t>December 31, 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84" w:type="dxa"/>
            <w:gridSpan w:val="2"/>
            <w:tcBorders>
              <w:bottom w:val="single" w:sz="12" w:space="0" w:color="000000"/>
            </w:tcBorders>
            <w:vAlign w:val="center"/>
          </w:tcPr>
          <w:p>
            <w:pPr>
              <w:pStyle w:val="TableContents"/>
              <w:bidi w:val="0"/>
              <w:spacing w:before="0" w:after="283"/>
              <w:jc w:val="center"/>
              <w:rPr>
                <w:b/>
              </w:rPr>
            </w:pPr>
            <w:r>
              <w:rPr>
                <w:b/>
              </w:rPr>
              <w:t>December 31, 2024</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84" w:type="dxa"/>
            <w:gridSpan w:val="2"/>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84" w:type="dxa"/>
            <w:gridSpan w:val="2"/>
            <w:tcBorders/>
            <w:tcMar>
              <w:bottom w:w="0" w:type="dxa"/>
            </w:tcMar>
            <w:vAlign w:val="center"/>
          </w:tcPr>
          <w:p>
            <w:pPr>
              <w:pStyle w:val="TableContents"/>
              <w:bidi w:val="0"/>
              <w:spacing w:before="0" w:after="283"/>
              <w:jc w:val="center"/>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Military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1725" w:type="dxa"/>
            <w:tcBorders/>
            <w:shd w:fill="CCEEFF" w:val="clear"/>
            <w:tcMar>
              <w:bottom w:w="0" w:type="dxa"/>
            </w:tcMar>
            <w:vAlign w:val="center"/>
          </w:tcPr>
          <w:p>
            <w:pPr>
              <w:pStyle w:val="TableContents"/>
              <w:bidi w:val="0"/>
              <w:spacing w:before="0" w:after="283"/>
              <w:jc w:val="right"/>
              <w:rPr/>
            </w:pPr>
            <w:r>
              <w:rPr/>
              <w:t>27,921,000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1725" w:type="dxa"/>
            <w:tcBorders/>
            <w:shd w:fill="CCEEFF" w:val="clear"/>
            <w:tcMar>
              <w:bottom w:w="0" w:type="dxa"/>
            </w:tcMar>
            <w:vAlign w:val="center"/>
          </w:tcPr>
          <w:p>
            <w:pPr>
              <w:pStyle w:val="TableContents"/>
              <w:bidi w:val="0"/>
              <w:spacing w:before="0" w:after="283"/>
              <w:jc w:val="right"/>
              <w:rPr/>
            </w:pPr>
            <w:r>
              <w:rPr/>
              <w:t>38,498,000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shd w:fill="FFFFFF" w:val="clear"/>
            <w:tcMar>
              <w:bottom w:w="0" w:type="dxa"/>
            </w:tcMar>
            <w:vAlign w:val="center"/>
          </w:tcPr>
          <w:p>
            <w:pPr>
              <w:pStyle w:val="TableContents"/>
              <w:bidi w:val="0"/>
              <w:spacing w:before="0" w:after="283"/>
              <w:jc w:val="left"/>
              <w:rPr/>
            </w:pPr>
            <w:r>
              <w:rPr/>
              <w:t>Commercial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single" w:sz="12" w:space="0" w:color="000000"/>
            </w:tcBorders>
            <w:shd w:fill="FFFFFF" w:val="clear"/>
            <w:vAlign w:val="center"/>
          </w:tcPr>
          <w:p>
            <w:pPr>
              <w:pStyle w:val="TableContents"/>
              <w:bidi w:val="0"/>
              <w:spacing w:before="0" w:after="283"/>
              <w:jc w:val="left"/>
              <w:rPr/>
            </w:pPr>
            <w:r>
              <w:rPr/>
              <w:t> </w:t>
            </w:r>
          </w:p>
        </w:tc>
        <w:tc>
          <w:tcPr>
            <w:tcW w:w="1725" w:type="dxa"/>
            <w:tcBorders>
              <w:bottom w:val="single" w:sz="12" w:space="0" w:color="000000"/>
            </w:tcBorders>
            <w:shd w:fill="FFFFFF" w:val="clear"/>
            <w:vAlign w:val="center"/>
          </w:tcPr>
          <w:p>
            <w:pPr>
              <w:pStyle w:val="TableContents"/>
              <w:bidi w:val="0"/>
              <w:spacing w:before="0" w:after="283"/>
              <w:jc w:val="right"/>
              <w:rPr/>
            </w:pPr>
            <w:r>
              <w:rPr/>
              <w:t>20,000,000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single" w:sz="12" w:space="0" w:color="000000"/>
            </w:tcBorders>
            <w:shd w:fill="FFFFFF" w:val="clear"/>
            <w:vAlign w:val="center"/>
          </w:tcPr>
          <w:p>
            <w:pPr>
              <w:pStyle w:val="TableContents"/>
              <w:bidi w:val="0"/>
              <w:spacing w:before="0" w:after="283"/>
              <w:jc w:val="left"/>
              <w:rPr/>
            </w:pPr>
            <w:r>
              <w:rPr/>
              <w:t> </w:t>
            </w:r>
          </w:p>
        </w:tc>
        <w:tc>
          <w:tcPr>
            <w:tcW w:w="1725" w:type="dxa"/>
            <w:tcBorders>
              <w:bottom w:val="single" w:sz="12" w:space="0" w:color="000000"/>
            </w:tcBorders>
            <w:shd w:fill="FFFFFF" w:val="clear"/>
            <w:vAlign w:val="center"/>
          </w:tcPr>
          <w:p>
            <w:pPr>
              <w:pStyle w:val="TableContents"/>
              <w:bidi w:val="0"/>
              <w:spacing w:before="0" w:after="283"/>
              <w:jc w:val="right"/>
              <w:rPr/>
            </w:pPr>
            <w:r>
              <w:rPr/>
              <w:t>16,610,000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172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1725"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shd w:fill="FFFFFF" w:val="clear"/>
            <w:tcMar>
              <w:bottom w:w="0" w:type="dxa"/>
            </w:tcMar>
            <w:vAlign w:val="center"/>
          </w:tcPr>
          <w:p>
            <w:pPr>
              <w:pStyle w:val="TableContents"/>
              <w:bidi w:val="0"/>
              <w:spacing w:before="0" w:after="283"/>
              <w:jc w:val="left"/>
              <w:rPr/>
            </w:pPr>
            <w:r>
              <w:rPr/>
              <w:t>Total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double" w:sz="10" w:space="0" w:color="000000"/>
            </w:tcBorders>
            <w:shd w:fill="FFFFFF" w:val="clear"/>
            <w:vAlign w:val="center"/>
          </w:tcPr>
          <w:p>
            <w:pPr>
              <w:pStyle w:val="TableContents"/>
              <w:bidi w:val="0"/>
              <w:spacing w:before="0" w:after="283"/>
              <w:jc w:val="left"/>
              <w:rPr/>
            </w:pPr>
            <w:r>
              <w:rPr/>
              <w:t>$</w:t>
            </w:r>
          </w:p>
        </w:tc>
        <w:tc>
          <w:tcPr>
            <w:tcW w:w="1725" w:type="dxa"/>
            <w:tcBorders>
              <w:bottom w:val="double" w:sz="10" w:space="0" w:color="000000"/>
            </w:tcBorders>
            <w:shd w:fill="FFFFFF" w:val="clear"/>
            <w:vAlign w:val="center"/>
          </w:tcPr>
          <w:p>
            <w:pPr>
              <w:pStyle w:val="TableContents"/>
              <w:bidi w:val="0"/>
              <w:spacing w:before="0" w:after="283"/>
              <w:jc w:val="right"/>
              <w:rPr/>
            </w:pPr>
            <w:r>
              <w:rPr/>
              <w:t>47,921,000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double" w:sz="10" w:space="0" w:color="000000"/>
            </w:tcBorders>
            <w:shd w:fill="FFFFFF" w:val="clear"/>
            <w:vAlign w:val="center"/>
          </w:tcPr>
          <w:p>
            <w:pPr>
              <w:pStyle w:val="TableContents"/>
              <w:bidi w:val="0"/>
              <w:spacing w:before="0" w:after="283"/>
              <w:jc w:val="left"/>
              <w:rPr/>
            </w:pPr>
            <w:r>
              <w:rPr/>
              <w:t>$</w:t>
            </w:r>
          </w:p>
        </w:tc>
        <w:tc>
          <w:tcPr>
            <w:tcW w:w="1725" w:type="dxa"/>
            <w:tcBorders>
              <w:bottom w:val="double" w:sz="10" w:space="0" w:color="000000"/>
            </w:tcBorders>
            <w:shd w:fill="FFFFFF" w:val="clear"/>
            <w:vAlign w:val="center"/>
          </w:tcPr>
          <w:p>
            <w:pPr>
              <w:pStyle w:val="TableContents"/>
              <w:bidi w:val="0"/>
              <w:spacing w:before="0" w:after="283"/>
              <w:jc w:val="right"/>
              <w:rPr/>
            </w:pPr>
            <w:r>
              <w:rPr/>
              <w:t>55,108,000</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had occasionally maintained balances in its bank accounts that were in excess of the FDIC limit. The Company has not experienced any losses on these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reported restricted cash of $3,930,000 and $0 on its consolidated balance sheets. Restricted cash represents proceeds from the Company’s ATM offering that are pledged as security for its obligations under the Current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cash and restricted cash reported with the condensed consolidated balance sheets to the total amount shown in the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6133" w:type="dxa"/>
        <w:jc w:val="left"/>
        <w:tblInd w:w="0" w:type="dxa"/>
        <w:tblLayout w:type="fixed"/>
        <w:tblCellMar>
          <w:top w:w="0" w:type="dxa"/>
          <w:left w:w="0" w:type="dxa"/>
          <w:bottom w:w="0" w:type="dxa"/>
          <w:right w:w="0" w:type="dxa"/>
        </w:tblCellMar>
      </w:tblPr>
      <w:tblGrid>
        <w:gridCol w:w="2840"/>
        <w:gridCol w:w="90"/>
        <w:gridCol w:w="208"/>
        <w:gridCol w:w="1236"/>
        <w:gridCol w:w="90"/>
        <w:gridCol w:w="90"/>
        <w:gridCol w:w="245"/>
        <w:gridCol w:w="1199"/>
        <w:gridCol w:w="135"/>
      </w:tblGrid>
      <w:tr>
        <w:trPr/>
        <w:tc>
          <w:tcPr>
            <w:tcW w:w="28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680,000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753,000</w:t>
            </w:r>
          </w:p>
        </w:tc>
        <w:tc>
          <w:tcPr>
            <w:tcW w:w="13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Restricted Cash</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pPr>
            <w:r>
              <w:rPr/>
              <w:t>3,930,000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Total cash and restricted cash</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CCEEFF" w:val="clear"/>
            <w:tcMar>
              <w:bottom w:w="28" w:type="dxa"/>
            </w:tcMar>
            <w:vAlign w:val="center"/>
          </w:tcPr>
          <w:p>
            <w:pPr>
              <w:pStyle w:val="TableContents"/>
              <w:bidi w:val="0"/>
              <w:spacing w:before="0" w:after="283"/>
              <w:jc w:val="right"/>
              <w:rPr/>
            </w:pPr>
            <w:r>
              <w:rPr/>
              <w:t>4,610,000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753,000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sole-source suppliers to supply raw materials or other parts used in production. These suppliers are its only source for such parts and, therefore, in the event any of them were to go out of business or be unable or unwilling to provide parts for any reason, its business could be severely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accounting guidance now codified as Financial Accounting Standards Board (“FASB”) Accounting Standards Codification (“ASC”) 740, “Income Taxes,” which requires that the Company recognize deferred tax liabilities and assets based on the differences between the financial statement carrying amounts and the tax bases of assets and liabilities, using enacted tax rates in effect in the years the differences are expected to reverse.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or benefit from, income taxes includes deferred taxes resulting from the temporary differences in income for financial and tax purposes using the liability method. Such temporary differences result primarily from the differences in the carrying value of assets and liabilities. Future realization of deferred income tax assets requires sufficient taxable income within the carryback, carryforward period available under tax law. We evaluate, on a quarterly basis whether, based on all available evidence, it is probable that the deferred income tax assets are realizable. Valuation allowances are established when it is more likely than not that the tax benefit of the deferred tax asset will not be realized. The evaluation, as prescribed by ASC 740-10, includes the consideration of all available evidence, both positive and negative, regarding historical operating results including recent years with reported losses, the estimated timing of future reversals of existing taxable temporary differences, estimated future taxable income exclusive of reversing temporary differences and carryforwards, and potential tax planning strategies which may be employed to prevent an operating loss or tax credit carryforward from expiring unused.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uncertainties in income taxes under the provisions of ASC 740 which clarify the accounting for uncertainty in income taxes recognized in an enterprise’s financial statements. The standard prescribes a recognition threshold and measurement attribute for the financial statement recognition and measurement of a tax position taken or expected to be taken in a tax return. The Subtopic provides guidance on the de-recognition, classification, interest and penalties, accounting in interim periods, disclosure and transition.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(Loss)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(“EPS”) is computed by dividing the net loss applicable to common stockholders by the weighted-average number of shares of common stock outstanding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calculating diluted earnings (loss) per common share, the numerator includes net income (loss) plus interest on convertible notes payable assumed converted as of the first day of the period. The denominator includes both the weighted-average number of shares of common stock outstanding during the period and the number of common stock equivalents if the inclusion of such common stock equivalents is dilutive. Dilutive common stock equivalents potentially include stock options and warrants using the treasury stock method and convertible notes payable using the if-converted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adjustments to net loss applicable to common shareholders utilized to calculate 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securities have been excluded from the calculation as the exercise price was greater than the average market price of the common stock and because the effect of including these potential shares was anti-dilutive due to the net loss incurred during that period:</w:t>
      </w:r>
    </w:p>
    <w:p>
      <w:pPr>
        <w:pStyle w:val="TextBody"/>
        <w:bidi w:val="0"/>
        <w:spacing w:before="0" w:after="0"/>
        <w:ind w:left="0" w:right="0" w:hanging="0"/>
        <w:jc w:val="both"/>
        <w:rPr>
          <w:caps w:val="false"/>
          <w:smallCaps w:val="false"/>
        </w:rPr>
      </w:pPr>
      <w:r>
        <w:rPr>
          <w:caps w:val="false"/>
          <w:smallCaps w:val="false"/>
        </w:rPr>
        <w:t> </w:t>
      </w:r>
    </w:p>
    <w:tbl>
      <w:tblPr>
        <w:tblW w:w="5818" w:type="dxa"/>
        <w:jc w:val="left"/>
        <w:tblInd w:w="0" w:type="dxa"/>
        <w:tblLayout w:type="fixed"/>
        <w:tblCellMar>
          <w:top w:w="0" w:type="dxa"/>
          <w:left w:w="0" w:type="dxa"/>
          <w:bottom w:w="0" w:type="dxa"/>
          <w:right w:w="0" w:type="dxa"/>
        </w:tblCellMar>
      </w:tblPr>
      <w:tblGrid>
        <w:gridCol w:w="2525"/>
        <w:gridCol w:w="90"/>
        <w:gridCol w:w="141"/>
        <w:gridCol w:w="1303"/>
        <w:gridCol w:w="90"/>
        <w:gridCol w:w="90"/>
        <w:gridCol w:w="118"/>
        <w:gridCol w:w="1326"/>
        <w:gridCol w:w="135"/>
      </w:tblGrid>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Stock Options</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425,703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417,003</w:t>
            </w:r>
          </w:p>
        </w:tc>
        <w:tc>
          <w:tcPr>
            <w:tcW w:w="13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Restricted Stock units</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188,418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282,628</w:t>
            </w:r>
          </w:p>
        </w:tc>
        <w:tc>
          <w:tcPr>
            <w:tcW w:w="13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Convertible notes payable</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pPr>
            <w:r>
              <w:rPr/>
              <w:t>361,700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6" w:type="dxa"/>
            <w:tcBorders>
              <w:bottom w:val="single" w:sz="12" w:space="0" w:color="000000"/>
            </w:tcBorders>
            <w:shd w:fill="CCEEFF" w:val="clear"/>
            <w:tcMar>
              <w:bottom w:w="28" w:type="dxa"/>
            </w:tcMar>
            <w:vAlign w:val="center"/>
          </w:tcPr>
          <w:p>
            <w:pPr>
              <w:pStyle w:val="TableContents"/>
              <w:bidi w:val="0"/>
              <w:spacing w:before="0" w:after="283"/>
              <w:jc w:val="right"/>
              <w:rPr/>
            </w:pPr>
            <w:r>
              <w:rPr/>
              <w:t>405,800</w:t>
            </w:r>
          </w:p>
        </w:tc>
        <w:tc>
          <w:tcPr>
            <w:tcW w:w="13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double" w:sz="10" w:space="0" w:color="000000"/>
            </w:tcBorders>
            <w:shd w:fill="FFFFFF" w:val="clear"/>
            <w:tcMar>
              <w:bottom w:w="28" w:type="dxa"/>
            </w:tcMar>
            <w:vAlign w:val="center"/>
          </w:tcPr>
          <w:p>
            <w:pPr>
              <w:pStyle w:val="TableContents"/>
              <w:bidi w:val="0"/>
              <w:spacing w:before="0" w:after="283"/>
              <w:jc w:val="right"/>
              <w:rPr/>
            </w:pPr>
            <w:r>
              <w:rPr/>
              <w:t>975,821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double" w:sz="10" w:space="0" w:color="000000"/>
            </w:tcBorders>
            <w:shd w:fill="FFFFFF" w:val="clear"/>
            <w:tcMar>
              <w:bottom w:w="28" w:type="dxa"/>
            </w:tcMar>
            <w:vAlign w:val="center"/>
          </w:tcPr>
          <w:p>
            <w:pPr>
              <w:pStyle w:val="TableContents"/>
              <w:bidi w:val="0"/>
              <w:spacing w:before="0" w:after="283"/>
              <w:jc w:val="right"/>
              <w:rPr/>
            </w:pPr>
            <w:r>
              <w:rPr/>
              <w:t>1,105,431</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in accordance with FASB ASC 718, “Compensation – Stock Compensation.” Under the fair value recognition provision of the ASC, stock-based compensation cost is estimated at the grant date based on the fair value of the award. The Company estimates the fair value of stock options and warrants granted using the Black-Scholes-Merton option pricing model and stock grants at their closing reported market value. Stock compensation expense for employees amounted to $939,000 and $640,000 for the years ended December 31, 2025 and 2024, respectively. Stock compensation expense for directors amounted to $108,000 and $157,000 for the years ended December 31, 2025 and 2024, respectively. Stock compensation expenses for employees and directors were included in operating expenses in the accompanying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Freight Out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Freight out is included in operating expenses and amounted to $52,000 and $67,000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FASB ASC 842, “Leases” (“ASC 842”), the Company records a right-of-use (ROU) asset and a lease liability on the balance sheet for all leases with terms longer than 12 months and classifies them as either operating or finance leases. The lease classification affects the expense recognition in the consolidated statement of operations. Operating lease charges are recorded entirely in operating expenses. Finance lease charges are split, where amortization of the right-of- use asset is recorded in operating expenses and an implied interest component is recorded in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an arrangement, the Company determines whether the arrangement is or contains a lease based on the unique facts and circumstances present and the classification of the lease including whether the contract involves the use of a distinct identified asset, whether the Company obtains the right to substantially all of the economic benefit from the use of the asset, and whether the Company has the right to direct the use of the asset. Leases with a term greater than one year are recognized on the balance sheet as ROU assets, lease liabilities and, if applicable, long-term lease liabilities. The Company has elected not to recognize on the balance sheet leases with terms of one year or less under the practical expedient. For contracts with lease and non-lease components, the Company has elected not to allocate the contract consideration, and to account for the lease and non-lease components as a single lease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and their corresponding ROU assets are recorded based on the present value of lease payments over the expected lease term. The implicit rates within the Company’s operating leases are generally not determinable and, therefore, the Company uses the incremental borrowing rate at the lease commencement date to determine the present value of lease payments. The determination of the Company’s incremental borrowing rate requires judgment. The Company determines the incremental borrowing rate for each lease using its estimated borrowing rate, adjusted for various factors including level of collateralization, term and currency to align with the terms of the lease. The operating lease ROU asset also includes any lease prepayments, offset by lease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 to extend the lease is considered in connection with determining the ROU asset and lease liability when it is reasonably certain the Company will exercise that option. An option to terminate is considered unless it is reasonably certain we will not exercise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under finance lease obligations are depreciated over the shorter of their related lease terms or their estimated useful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related to improvements to income tax disclosures. The amendments in this update require enhanced jurisdictional and other disaggregated disclosures for the effective tax rate reconciliation and income taxes paid. The amendments in this update are effective for fiscal years beginning after December 15, 2024. The Company adopted the guidance prospectively in the fiscal year beginning January 1, 2025 and additional required disclosures have been included in Note13.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which requires public business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Early adoption is permitted. The Company is currently assessing the impact that adoption of this new accounting guidance will have on its consolidated financial statements and footnote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any other recently issued, but not yet effective, accounting standards if currently adopted would have a material effect on the accompanying consolidated financial statements.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accounts receivable at December 31, are detailed as follows:</w:t>
      </w:r>
    </w:p>
    <w:p>
      <w:pPr>
        <w:pStyle w:val="TextBody"/>
        <w:bidi w:val="0"/>
        <w:spacing w:before="0" w:after="0"/>
        <w:ind w:left="0" w:right="0" w:hanging="0"/>
        <w:jc w:val="both"/>
        <w:rPr>
          <w:caps w:val="false"/>
          <w:smallCaps w:val="false"/>
        </w:rPr>
      </w:pPr>
      <w:r>
        <w:rPr>
          <w:caps w:val="false"/>
          <w:smallCaps w:val="false"/>
        </w:rPr>
        <w:t> </w:t>
      </w:r>
    </w:p>
    <w:tbl>
      <w:tblPr>
        <w:tblW w:w="7223" w:type="dxa"/>
        <w:jc w:val="left"/>
        <w:tblInd w:w="0" w:type="dxa"/>
        <w:tblLayout w:type="fixed"/>
        <w:tblCellMar>
          <w:top w:w="0" w:type="dxa"/>
          <w:left w:w="0" w:type="dxa"/>
          <w:bottom w:w="0" w:type="dxa"/>
          <w:right w:w="0" w:type="dxa"/>
        </w:tblCellMar>
      </w:tblPr>
      <w:tblGrid>
        <w:gridCol w:w="2780"/>
        <w:gridCol w:w="90"/>
        <w:gridCol w:w="285"/>
        <w:gridCol w:w="1699"/>
        <w:gridCol w:w="125"/>
        <w:gridCol w:w="90"/>
        <w:gridCol w:w="285"/>
        <w:gridCol w:w="1699"/>
        <w:gridCol w:w="170"/>
      </w:tblGrid>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4"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Accounts Receivable Gross</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699" w:type="dxa"/>
            <w:tcBorders/>
            <w:shd w:fill="CCEEFF" w:val="clear"/>
            <w:vAlign w:val="center"/>
          </w:tcPr>
          <w:p>
            <w:pPr>
              <w:pStyle w:val="TableContents"/>
              <w:bidi w:val="0"/>
              <w:spacing w:before="0" w:after="283"/>
              <w:jc w:val="right"/>
              <w:rPr/>
            </w:pPr>
            <w:r>
              <w:rPr/>
              <w:t>7,535,000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699" w:type="dxa"/>
            <w:tcBorders/>
            <w:shd w:fill="CCEEFF" w:val="clear"/>
            <w:vAlign w:val="center"/>
          </w:tcPr>
          <w:p>
            <w:pPr>
              <w:pStyle w:val="TableContents"/>
              <w:bidi w:val="0"/>
              <w:spacing w:before="0" w:after="283"/>
              <w:jc w:val="right"/>
              <w:rPr/>
            </w:pPr>
            <w:r>
              <w:rPr/>
              <w:t>9,296,000</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Allowance for Credit Losses</w:t>
            </w:r>
          </w:p>
        </w:tc>
        <w:tc>
          <w:tcPr>
            <w:tcW w:w="90" w:type="dxa"/>
            <w:tcBorders/>
            <w:shd w:fill="FFFFFF" w:val="clear"/>
            <w:vAlign w:val="center"/>
          </w:tcPr>
          <w:p>
            <w:pPr>
              <w:pStyle w:val="TableContents"/>
              <w:bidi w:val="0"/>
              <w:spacing w:before="0" w:after="283"/>
              <w:jc w:val="left"/>
              <w:rPr/>
            </w:pPr>
            <w:r>
              <w:rPr/>
              <w:t> </w:t>
            </w:r>
          </w:p>
        </w:tc>
        <w:tc>
          <w:tcPr>
            <w:tcW w:w="2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9" w:type="dxa"/>
            <w:tcBorders>
              <w:bottom w:val="single" w:sz="12" w:space="0" w:color="000000"/>
            </w:tcBorders>
            <w:shd w:fill="FFFFFF" w:val="clear"/>
            <w:tcMar>
              <w:bottom w:w="28" w:type="dxa"/>
            </w:tcMar>
            <w:vAlign w:val="center"/>
          </w:tcPr>
          <w:p>
            <w:pPr>
              <w:pStyle w:val="TableContents"/>
              <w:bidi w:val="0"/>
              <w:spacing w:before="0" w:after="283"/>
              <w:jc w:val="right"/>
              <w:rPr/>
            </w:pPr>
            <w:r>
              <w:rPr/>
              <w:t>(464,000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9" w:type="dxa"/>
            <w:tcBorders>
              <w:bottom w:val="single" w:sz="12" w:space="0" w:color="000000"/>
            </w:tcBorders>
            <w:shd w:fill="FFFFFF" w:val="clear"/>
            <w:tcMar>
              <w:bottom w:w="28" w:type="dxa"/>
            </w:tcMar>
            <w:vAlign w:val="center"/>
          </w:tcPr>
          <w:p>
            <w:pPr>
              <w:pStyle w:val="TableContents"/>
              <w:bidi w:val="0"/>
              <w:spacing w:before="0" w:after="283"/>
              <w:jc w:val="right"/>
              <w:rPr/>
            </w:pPr>
            <w:r>
              <w:rPr/>
              <w:t>(396,000</w:t>
            </w:r>
          </w:p>
        </w:tc>
        <w:tc>
          <w:tcPr>
            <w:tcW w:w="170" w:type="dxa"/>
            <w:tcBorders/>
            <w:shd w:fill="FFFFFF" w:val="clear"/>
            <w:vAlign w:val="center"/>
          </w:tcPr>
          <w:p>
            <w:pPr>
              <w:pStyle w:val="TableContents"/>
              <w:bidi w:val="0"/>
              <w:spacing w:before="0" w:after="283"/>
              <w:jc w:val="left"/>
              <w:rPr/>
            </w:pPr>
            <w:r>
              <w:rPr/>
              <w:t>)</w:t>
            </w:r>
          </w:p>
        </w:tc>
      </w:tr>
      <w:tr>
        <w:trPr/>
        <w:tc>
          <w:tcPr>
            <w:tcW w:w="2780"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2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99" w:type="dxa"/>
            <w:tcBorders>
              <w:bottom w:val="double" w:sz="10" w:space="0" w:color="000000"/>
            </w:tcBorders>
            <w:shd w:fill="CCEEFF" w:val="clear"/>
            <w:tcMar>
              <w:bottom w:w="28" w:type="dxa"/>
            </w:tcMar>
            <w:vAlign w:val="center"/>
          </w:tcPr>
          <w:p>
            <w:pPr>
              <w:pStyle w:val="TableContents"/>
              <w:bidi w:val="0"/>
              <w:spacing w:before="0" w:after="283"/>
              <w:jc w:val="right"/>
              <w:rPr/>
            </w:pPr>
            <w:r>
              <w:rPr/>
              <w:t>7,071,000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99" w:type="dxa"/>
            <w:tcBorders>
              <w:bottom w:val="double" w:sz="10" w:space="0" w:color="000000"/>
            </w:tcBorders>
            <w:shd w:fill="CCEEFF" w:val="clear"/>
            <w:tcMar>
              <w:bottom w:w="28" w:type="dxa"/>
            </w:tcMar>
            <w:vAlign w:val="center"/>
          </w:tcPr>
          <w:p>
            <w:pPr>
              <w:pStyle w:val="TableContents"/>
              <w:bidi w:val="0"/>
              <w:spacing w:before="0" w:after="283"/>
              <w:jc w:val="right"/>
              <w:rPr/>
            </w:pPr>
            <w:r>
              <w:rPr/>
              <w:t>8,900,000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the years ended December 31, 2025 and 2024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02"/>
        <w:gridCol w:w="90"/>
        <w:gridCol w:w="218"/>
        <w:gridCol w:w="1063"/>
        <w:gridCol w:w="90"/>
        <w:gridCol w:w="90"/>
        <w:gridCol w:w="176"/>
        <w:gridCol w:w="864"/>
        <w:gridCol w:w="90"/>
        <w:gridCol w:w="90"/>
        <w:gridCol w:w="188"/>
        <w:gridCol w:w="1002"/>
        <w:gridCol w:w="125"/>
        <w:gridCol w:w="90"/>
        <w:gridCol w:w="184"/>
        <w:gridCol w:w="903"/>
        <w:gridCol w:w="140"/>
      </w:tblGrid>
      <w:tr>
        <w:trPr/>
        <w:tc>
          <w:tcPr>
            <w:tcW w:w="48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1"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Charged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left"/>
              <w:rPr/>
            </w:pPr>
            <w:r>
              <w:rPr/>
              <w:t> </w:t>
            </w:r>
          </w:p>
        </w:tc>
      </w:tr>
      <w:tr>
        <w:trPr/>
        <w:tc>
          <w:tcPr>
            <w:tcW w:w="48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1" w:type="dxa"/>
            <w:gridSpan w:val="2"/>
            <w:tcBorders/>
            <w:vAlign w:val="center"/>
          </w:tcPr>
          <w:p>
            <w:pPr>
              <w:pStyle w:val="TableContents"/>
              <w:bidi w:val="0"/>
              <w:spacing w:before="0" w:after="283"/>
              <w:jc w:val="center"/>
              <w:rPr>
                <w:b/>
              </w:rPr>
            </w:pPr>
            <w:r>
              <w:rPr>
                <w:b/>
              </w:rPr>
              <w:t>Balance at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to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Deductions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center"/>
              <w:rPr>
                <w:b/>
              </w:rPr>
            </w:pPr>
            <w:r>
              <w:rPr>
                <w:b/>
              </w:rPr>
              <w:t>Balance at</w:t>
            </w:r>
          </w:p>
        </w:tc>
        <w:tc>
          <w:tcPr>
            <w:tcW w:w="140" w:type="dxa"/>
            <w:tcBorders/>
            <w:vAlign w:val="center"/>
          </w:tcPr>
          <w:p>
            <w:pPr>
              <w:pStyle w:val="TableContents"/>
              <w:bidi w:val="0"/>
              <w:spacing w:before="0" w:after="283"/>
              <w:jc w:val="left"/>
              <w:rPr/>
            </w:pPr>
            <w:r>
              <w:rPr/>
              <w:t> </w:t>
            </w:r>
          </w:p>
        </w:tc>
      </w:tr>
      <w:tr>
        <w:trPr/>
        <w:tc>
          <w:tcPr>
            <w:tcW w:w="48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1" w:type="dxa"/>
            <w:gridSpan w:val="2"/>
            <w:tcBorders/>
            <w:vAlign w:val="center"/>
          </w:tcPr>
          <w:p>
            <w:pPr>
              <w:pStyle w:val="TableContents"/>
              <w:bidi w:val="0"/>
              <w:spacing w:before="0" w:after="283"/>
              <w:jc w:val="center"/>
              <w:rPr>
                <w:b/>
              </w:rPr>
            </w:pPr>
            <w:r>
              <w:rPr>
                <w:b/>
              </w:rPr>
              <w:t>Beginning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Costs 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from</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center"/>
              <w:rPr>
                <w:b/>
              </w:rPr>
            </w:pPr>
            <w:r>
              <w:rPr>
                <w:b/>
              </w:rPr>
              <w:t>End of</w:t>
            </w:r>
          </w:p>
        </w:tc>
        <w:tc>
          <w:tcPr>
            <w:tcW w:w="140" w:type="dxa"/>
            <w:tcBorders/>
            <w:vAlign w:val="center"/>
          </w:tcPr>
          <w:p>
            <w:pPr>
              <w:pStyle w:val="TableContents"/>
              <w:bidi w:val="0"/>
              <w:spacing w:before="0" w:after="283"/>
              <w:jc w:val="left"/>
              <w:rPr/>
            </w:pPr>
            <w:r>
              <w:rPr/>
              <w:t> </w:t>
            </w:r>
          </w:p>
        </w:tc>
      </w:tr>
      <w:tr>
        <w:trPr/>
        <w:tc>
          <w:tcPr>
            <w:tcW w:w="48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Reserves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w:t>
            </w:r>
          </w:p>
        </w:tc>
        <w:tc>
          <w:tcPr>
            <w:tcW w:w="140" w:type="dxa"/>
            <w:tcBorders/>
            <w:vAlign w:val="center"/>
          </w:tcPr>
          <w:p>
            <w:pPr>
              <w:pStyle w:val="TableContents"/>
              <w:bidi w:val="0"/>
              <w:spacing w:before="0" w:after="283"/>
              <w:jc w:val="left"/>
              <w:rPr/>
            </w:pPr>
            <w:r>
              <w:rPr/>
              <w:t> </w:t>
            </w:r>
          </w:p>
        </w:tc>
      </w:tr>
      <w:tr>
        <w:trPr/>
        <w:tc>
          <w:tcPr>
            <w:tcW w:w="4802" w:type="dxa"/>
            <w:tcBorders/>
            <w:shd w:fill="CCEEFF" w:val="clear"/>
            <w:vAlign w:val="center"/>
          </w:tcPr>
          <w:p>
            <w:pPr>
              <w:pStyle w:val="TableContents"/>
              <w:bidi w:val="0"/>
              <w:spacing w:before="0" w:after="283"/>
              <w:jc w:val="left"/>
              <w:rPr/>
            </w:pPr>
            <w:r>
              <w:rPr/>
              <w:t>Year ended December 31, 2025 Allowance for Credit Losses</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396,000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64" w:type="dxa"/>
            <w:tcBorders/>
            <w:shd w:fill="CCEEFF" w:val="clear"/>
            <w:vAlign w:val="center"/>
          </w:tcPr>
          <w:p>
            <w:pPr>
              <w:pStyle w:val="TableContents"/>
              <w:bidi w:val="0"/>
              <w:spacing w:before="0" w:after="283"/>
              <w:jc w:val="right"/>
              <w:rPr/>
            </w:pPr>
            <w:r>
              <w:rPr/>
              <w:t>164,000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(96,000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464,000</w:t>
            </w:r>
          </w:p>
        </w:tc>
        <w:tc>
          <w:tcPr>
            <w:tcW w:w="140" w:type="dxa"/>
            <w:tcBorders/>
            <w:shd w:fill="CCEEFF" w:val="clear"/>
            <w:vAlign w:val="center"/>
          </w:tcPr>
          <w:p>
            <w:pPr>
              <w:pStyle w:val="TableContents"/>
              <w:bidi w:val="0"/>
              <w:spacing w:before="0" w:after="283"/>
              <w:jc w:val="left"/>
              <w:rPr/>
            </w:pPr>
            <w:r>
              <w:rPr/>
              <w:t> </w:t>
            </w:r>
          </w:p>
        </w:tc>
      </w:tr>
      <w:tr>
        <w:trPr/>
        <w:tc>
          <w:tcPr>
            <w:tcW w:w="4802" w:type="dxa"/>
            <w:tcBorders/>
            <w:shd w:fill="FFFFFF" w:val="clear"/>
            <w:vAlign w:val="center"/>
          </w:tcPr>
          <w:p>
            <w:pPr>
              <w:pStyle w:val="TableContents"/>
              <w:bidi w:val="0"/>
              <w:spacing w:before="0" w:after="283"/>
              <w:jc w:val="left"/>
              <w:rPr/>
            </w:pPr>
            <w:r>
              <w:rPr/>
              <w:t>Year ended December 31, 2024 Allowance for Credit Losses</w:t>
            </w:r>
          </w:p>
        </w:tc>
        <w:tc>
          <w:tcPr>
            <w:tcW w:w="9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3" w:type="dxa"/>
            <w:tcBorders/>
            <w:shd w:fill="FFFFFF" w:val="clear"/>
            <w:vAlign w:val="center"/>
          </w:tcPr>
          <w:p>
            <w:pPr>
              <w:pStyle w:val="TableContents"/>
              <w:bidi w:val="0"/>
              <w:spacing w:before="0" w:after="283"/>
              <w:jc w:val="right"/>
              <w:rPr/>
            </w:pPr>
            <w:r>
              <w:rPr/>
              <w:t>344,000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864" w:type="dxa"/>
            <w:tcBorders/>
            <w:shd w:fill="FFFFFF" w:val="clear"/>
            <w:vAlign w:val="center"/>
          </w:tcPr>
          <w:p>
            <w:pPr>
              <w:pStyle w:val="TableContents"/>
              <w:bidi w:val="0"/>
              <w:spacing w:before="0" w:after="283"/>
              <w:jc w:val="right"/>
              <w:rPr/>
            </w:pPr>
            <w:r>
              <w:rPr/>
              <w:t>203,000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002" w:type="dxa"/>
            <w:tcBorders/>
            <w:shd w:fill="FFFFFF" w:val="clear"/>
            <w:vAlign w:val="center"/>
          </w:tcPr>
          <w:p>
            <w:pPr>
              <w:pStyle w:val="TableContents"/>
              <w:bidi w:val="0"/>
              <w:spacing w:before="0" w:after="283"/>
              <w:jc w:val="right"/>
              <w:rPr/>
            </w:pPr>
            <w:r>
              <w:rPr/>
              <w:t>(151,000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903" w:type="dxa"/>
            <w:tcBorders/>
            <w:shd w:fill="FFFFFF" w:val="clear"/>
            <w:vAlign w:val="center"/>
          </w:tcPr>
          <w:p>
            <w:pPr>
              <w:pStyle w:val="TableContents"/>
              <w:bidi w:val="0"/>
              <w:spacing w:before="0" w:after="283"/>
              <w:jc w:val="right"/>
              <w:rPr/>
            </w:pPr>
            <w:r>
              <w:rPr/>
              <w:t>396,000</w:t>
            </w:r>
          </w:p>
        </w:tc>
        <w:tc>
          <w:tcPr>
            <w:tcW w:w="1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inventory at December 31,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413" w:type="dxa"/>
        <w:jc w:val="left"/>
        <w:tblInd w:w="0" w:type="dxa"/>
        <w:tblLayout w:type="fixed"/>
        <w:tblCellMar>
          <w:top w:w="0" w:type="dxa"/>
          <w:left w:w="0" w:type="dxa"/>
          <w:bottom w:w="0" w:type="dxa"/>
          <w:right w:w="0" w:type="dxa"/>
        </w:tblCellMar>
      </w:tblPr>
      <w:tblGrid>
        <w:gridCol w:w="2120"/>
        <w:gridCol w:w="90"/>
        <w:gridCol w:w="188"/>
        <w:gridCol w:w="1256"/>
        <w:gridCol w:w="90"/>
        <w:gridCol w:w="90"/>
        <w:gridCol w:w="188"/>
        <w:gridCol w:w="1256"/>
        <w:gridCol w:w="135"/>
      </w:tblGrid>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Raw Materials</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7,306,000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6,318,000</w:t>
            </w:r>
          </w:p>
        </w:tc>
        <w:tc>
          <w:tcPr>
            <w:tcW w:w="135"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Work In Progress</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17,072,000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13,028,000</w:t>
            </w:r>
          </w:p>
        </w:tc>
        <w:tc>
          <w:tcPr>
            <w:tcW w:w="135"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Semi-Finished Goods</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9,206,000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8,805,000</w:t>
            </w:r>
          </w:p>
        </w:tc>
        <w:tc>
          <w:tcPr>
            <w:tcW w:w="135"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283"/>
              <w:jc w:val="left"/>
              <w:rPr/>
            </w:pPr>
            <w:r>
              <w:rPr/>
              <w:t>Final-Finished Goods</w:t>
            </w:r>
          </w:p>
        </w:tc>
        <w:tc>
          <w:tcPr>
            <w:tcW w:w="9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677,000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660,000</w:t>
            </w:r>
          </w:p>
        </w:tc>
        <w:tc>
          <w:tcPr>
            <w:tcW w:w="135"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Total Inventory</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34,261,000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28,811,000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property and equipment at December 31,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7948" w:type="dxa"/>
        <w:jc w:val="left"/>
        <w:tblInd w:w="0" w:type="dxa"/>
        <w:tblLayout w:type="fixed"/>
        <w:tblCellMar>
          <w:top w:w="0" w:type="dxa"/>
          <w:left w:w="0" w:type="dxa"/>
          <w:bottom w:w="0" w:type="dxa"/>
          <w:right w:w="0" w:type="dxa"/>
        </w:tblCellMar>
      </w:tblPr>
      <w:tblGrid>
        <w:gridCol w:w="3155"/>
        <w:gridCol w:w="90"/>
        <w:gridCol w:w="178"/>
        <w:gridCol w:w="1266"/>
        <w:gridCol w:w="125"/>
        <w:gridCol w:w="90"/>
        <w:gridCol w:w="178"/>
        <w:gridCol w:w="1266"/>
        <w:gridCol w:w="125"/>
        <w:gridCol w:w="90"/>
        <w:gridCol w:w="1385"/>
      </w:tblGrid>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Land &amp; Improvements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313,000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300,000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Buildings and Improvements</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2,739,000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2,739,000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31.5 years</w:t>
            </w:r>
          </w:p>
        </w:tc>
      </w:tr>
      <w:tr>
        <w:trPr/>
        <w:tc>
          <w:tcPr>
            <w:tcW w:w="3155" w:type="dxa"/>
            <w:tcBorders/>
            <w:shd w:fill="CCEEFF" w:val="clear"/>
            <w:vAlign w:val="center"/>
          </w:tcPr>
          <w:p>
            <w:pPr>
              <w:pStyle w:val="TableContents"/>
              <w:bidi w:val="0"/>
              <w:spacing w:before="0" w:after="283"/>
              <w:jc w:val="left"/>
              <w:rPr/>
            </w:pPr>
            <w:r>
              <w:rPr/>
              <w:t>Machinery and Equipment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26,953,000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25,592,000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5 - 8 years</w:t>
            </w:r>
          </w:p>
        </w:tc>
      </w:tr>
      <w:tr>
        <w:trPr/>
        <w:tc>
          <w:tcPr>
            <w:tcW w:w="3155" w:type="dxa"/>
            <w:tcBorders/>
            <w:shd w:fill="FFFFFF" w:val="clear"/>
            <w:vAlign w:val="center"/>
          </w:tcPr>
          <w:p>
            <w:pPr>
              <w:pStyle w:val="TableContents"/>
              <w:bidi w:val="0"/>
              <w:spacing w:before="0" w:after="283"/>
              <w:jc w:val="left"/>
              <w:rPr/>
            </w:pPr>
            <w:r>
              <w:rPr/>
              <w:t>Tools and Instruments</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16,278,000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15,238,000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1.5 - 7 years</w:t>
            </w:r>
          </w:p>
        </w:tc>
      </w:tr>
      <w:tr>
        <w:trPr/>
        <w:tc>
          <w:tcPr>
            <w:tcW w:w="3155" w:type="dxa"/>
            <w:tcBorders/>
            <w:shd w:fill="CCEEFF" w:val="clear"/>
            <w:vAlign w:val="center"/>
          </w:tcPr>
          <w:p>
            <w:pPr>
              <w:pStyle w:val="TableContents"/>
              <w:bidi w:val="0"/>
              <w:spacing w:before="0" w:after="283"/>
              <w:jc w:val="left"/>
              <w:rPr/>
            </w:pPr>
            <w:r>
              <w:rPr/>
              <w:t>Automotive Equipment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266,000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266,000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5 years</w:t>
            </w:r>
          </w:p>
        </w:tc>
      </w:tr>
      <w:tr>
        <w:trPr/>
        <w:tc>
          <w:tcPr>
            <w:tcW w:w="3155" w:type="dxa"/>
            <w:tcBorders/>
            <w:shd w:fill="FFFFFF" w:val="clear"/>
            <w:vAlign w:val="center"/>
          </w:tcPr>
          <w:p>
            <w:pPr>
              <w:pStyle w:val="TableContents"/>
              <w:bidi w:val="0"/>
              <w:spacing w:before="0" w:after="283"/>
              <w:jc w:val="left"/>
              <w:rPr/>
            </w:pPr>
            <w:r>
              <w:rPr/>
              <w:t>Furniture and Fixtures</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309,000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309,000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5 - 8 years</w:t>
            </w:r>
          </w:p>
        </w:tc>
      </w:tr>
      <w:tr>
        <w:trPr/>
        <w:tc>
          <w:tcPr>
            <w:tcW w:w="3155" w:type="dxa"/>
            <w:tcBorders/>
            <w:shd w:fill="CCEEFF" w:val="clear"/>
            <w:vAlign w:val="center"/>
          </w:tcPr>
          <w:p>
            <w:pPr>
              <w:pStyle w:val="TableContents"/>
              <w:bidi w:val="0"/>
              <w:spacing w:before="0" w:after="283"/>
              <w:jc w:val="left"/>
              <w:rPr/>
            </w:pPr>
            <w:r>
              <w:rPr/>
              <w:t>Leasehold Improvements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1,139,000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1,139,000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Term of lease</w:t>
            </w:r>
          </w:p>
        </w:tc>
      </w:tr>
      <w:tr>
        <w:trPr/>
        <w:tc>
          <w:tcPr>
            <w:tcW w:w="3155" w:type="dxa"/>
            <w:tcBorders/>
            <w:shd w:fill="FFFFFF" w:val="clear"/>
            <w:vAlign w:val="center"/>
          </w:tcPr>
          <w:p>
            <w:pPr>
              <w:pStyle w:val="TableContents"/>
              <w:bidi w:val="0"/>
              <w:spacing w:before="0" w:after="283"/>
              <w:jc w:val="left"/>
              <w:rPr/>
            </w:pPr>
            <w:r>
              <w:rPr/>
              <w:t>Computers and Software</w:t>
            </w:r>
          </w:p>
        </w:tc>
        <w:tc>
          <w:tcPr>
            <w:tcW w:w="9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705,000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605,000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4 - 6  years</w:t>
            </w:r>
          </w:p>
        </w:tc>
      </w:tr>
      <w:tr>
        <w:trPr/>
        <w:tc>
          <w:tcPr>
            <w:tcW w:w="3155" w:type="dxa"/>
            <w:tcBorders/>
            <w:shd w:fill="CCEEFF" w:val="clear"/>
            <w:vAlign w:val="center"/>
          </w:tcPr>
          <w:p>
            <w:pPr>
              <w:pStyle w:val="TableContents"/>
              <w:bidi w:val="0"/>
              <w:spacing w:before="0" w:after="283"/>
              <w:jc w:val="left"/>
              <w:rPr/>
            </w:pPr>
            <w:r>
              <w:rPr/>
              <w:t>Total Property and Equipment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48,702,000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46,188,000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Less: Accumulated Depreciation</w:t>
            </w:r>
          </w:p>
        </w:tc>
        <w:tc>
          <w:tcPr>
            <w:tcW w:w="9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(39,201,000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(37,379,000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9,501,000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8,809,000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December 31, 2025 and 2024 was approximately $2,499,000 and $2,072,000,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ACCOUNTS PAYABLE AND ACCRUED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accounts payable and accrued expenses at December 31, are detailed as follows:</w:t>
      </w:r>
    </w:p>
    <w:p>
      <w:pPr>
        <w:pStyle w:val="TextBody"/>
        <w:bidi w:val="0"/>
        <w:spacing w:before="0" w:after="0"/>
        <w:ind w:left="0" w:right="0" w:hanging="0"/>
        <w:jc w:val="both"/>
        <w:rPr>
          <w:caps w:val="false"/>
          <w:smallCaps w:val="false"/>
        </w:rPr>
      </w:pPr>
      <w:r>
        <w:rPr>
          <w:caps w:val="false"/>
          <w:smallCaps w:val="false"/>
        </w:rPr>
        <w:t> </w:t>
      </w:r>
    </w:p>
    <w:tbl>
      <w:tblPr>
        <w:tblW w:w="7183" w:type="dxa"/>
        <w:jc w:val="left"/>
        <w:tblInd w:w="0" w:type="dxa"/>
        <w:tblLayout w:type="fixed"/>
        <w:tblCellMar>
          <w:top w:w="0" w:type="dxa"/>
          <w:left w:w="0" w:type="dxa"/>
          <w:bottom w:w="0" w:type="dxa"/>
          <w:right w:w="0" w:type="dxa"/>
        </w:tblCellMar>
      </w:tblPr>
      <w:tblGrid>
        <w:gridCol w:w="3890"/>
        <w:gridCol w:w="90"/>
        <w:gridCol w:w="208"/>
        <w:gridCol w:w="1236"/>
        <w:gridCol w:w="90"/>
        <w:gridCol w:w="90"/>
        <w:gridCol w:w="208"/>
        <w:gridCol w:w="1236"/>
        <w:gridCol w:w="135"/>
      </w:tblGrid>
      <w:tr>
        <w:trPr/>
        <w:tc>
          <w:tcPr>
            <w:tcW w:w="3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7,100,000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5,580,000</w:t>
            </w:r>
          </w:p>
        </w:tc>
        <w:tc>
          <w:tcPr>
            <w:tcW w:w="13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Accrued Payroll</w:t>
            </w:r>
          </w:p>
        </w:tc>
        <w:tc>
          <w:tcPr>
            <w:tcW w:w="9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428,000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369,000</w:t>
            </w:r>
          </w:p>
        </w:tc>
        <w:tc>
          <w:tcPr>
            <w:tcW w:w="13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Accrued Bonuses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350,000</w:t>
            </w:r>
          </w:p>
        </w:tc>
        <w:tc>
          <w:tcPr>
            <w:tcW w:w="13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Accrued Expenses – other</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pPr>
            <w:r>
              <w:rPr/>
              <w:t>375,000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pPr>
            <w:r>
              <w:rPr/>
              <w:t>716,000</w:t>
            </w:r>
          </w:p>
        </w:tc>
        <w:tc>
          <w:tcPr>
            <w:tcW w:w="13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Accounts Payable and accrued expenses</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CCEEFF" w:val="clear"/>
            <w:tcMar>
              <w:bottom w:w="28" w:type="dxa"/>
            </w:tcMar>
            <w:vAlign w:val="center"/>
          </w:tcPr>
          <w:p>
            <w:pPr>
              <w:pStyle w:val="TableContents"/>
              <w:bidi w:val="0"/>
              <w:spacing w:before="0" w:after="283"/>
              <w:jc w:val="right"/>
              <w:rPr/>
            </w:pPr>
            <w:r>
              <w:rPr/>
              <w:t>7,903,000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CCEEFF" w:val="clear"/>
            <w:tcMar>
              <w:bottom w:w="28" w:type="dxa"/>
            </w:tcMar>
            <w:vAlign w:val="center"/>
          </w:tcPr>
          <w:p>
            <w:pPr>
              <w:pStyle w:val="TableContents"/>
              <w:bidi w:val="0"/>
              <w:spacing w:before="0" w:after="283"/>
              <w:jc w:val="right"/>
              <w:rPr/>
            </w:pPr>
            <w:r>
              <w:rPr/>
              <w:t>7,015,000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SALE-LEASEBACK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2006, the Company consummated a Sale - Leaseback Arrangement, whereby the Company sold the buildings and real property located in Bay Shore, New York (the “Bay Shore Property”) for a purchase price of $6,200,000. The Company realized a gain on the sale of $1,051,000 of which $300,000 was recognized during the year ended December 31, 2006. The remaining $751,000 is being recognized ratably over the remaining term of the twenty - year lease at approximately $38,000 per year. The gain is included in Other Income in the accompanying Consolidated Statements of Operations. The unrecognized portion of the gain in the amount of $28,000 and $67,000 as of December 31, 2025 and 2024, respectively, is classified as Deferred Gain on Sale in the accompanying Consolidated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these transactions under the provisions of FASB ASC 840-40, “Leases-Sale-Leaseback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 with the closing of the sale of the Bay Shore Property, the Company entered into a 20-year lease (the “Lease”) expiring in September 2026 with the purchaser for the property. Base annual rent is approximately $540,000 for the first five years, $560,000 for the sixth year, and thereafter increases 3% per year. The Lease grants the Company an option to renew the Lease for an additional period of five years. The Company has on deposit with the landlord $89,000 as security for the performance of its obligations under the Lease. Pursuant to the terms of the Lease, the Company is required to pay all of the costs associated with the operation of the facilities, including, without limitation, insurance, taxes and maintenance. The lease also contains customary representations, warranties, obligations, conditions and indemnification provisions and grants the landlord customary remedies upon a breach of the lease by the Company, including the right to terminate the Lease and hold the Company liable for any deficiency in future rent. See Note 9 – Operating Lease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val="false"/>
          <w:caps/>
          <w:sz w:val="20"/>
        </w:rPr>
        <w:t>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to third parties consists of the following:</w:t>
      </w:r>
    </w:p>
    <w:p>
      <w:pPr>
        <w:pStyle w:val="TextBody"/>
        <w:bidi w:val="0"/>
        <w:spacing w:before="0" w:after="0"/>
        <w:ind w:left="0" w:right="0" w:hanging="0"/>
        <w:jc w:val="both"/>
        <w:rPr>
          <w:caps w:val="false"/>
          <w:smallCaps w:val="false"/>
        </w:rPr>
      </w:pPr>
      <w:r>
        <w:rPr>
          <w:caps w:val="false"/>
          <w:smallCaps w:val="false"/>
        </w:rPr>
        <w:t> </w:t>
      </w:r>
    </w:p>
    <w:tbl>
      <w:tblPr>
        <w:tblW w:w="7733" w:type="dxa"/>
        <w:jc w:val="left"/>
        <w:tblInd w:w="0" w:type="dxa"/>
        <w:tblLayout w:type="fixed"/>
        <w:tblCellMar>
          <w:top w:w="0" w:type="dxa"/>
          <w:left w:w="0" w:type="dxa"/>
          <w:bottom w:w="0" w:type="dxa"/>
          <w:right w:w="0" w:type="dxa"/>
        </w:tblCellMar>
      </w:tblPr>
      <w:tblGrid>
        <w:gridCol w:w="4370"/>
        <w:gridCol w:w="90"/>
        <w:gridCol w:w="178"/>
        <w:gridCol w:w="1266"/>
        <w:gridCol w:w="125"/>
        <w:gridCol w:w="90"/>
        <w:gridCol w:w="178"/>
        <w:gridCol w:w="1266"/>
        <w:gridCol w:w="170"/>
      </w:tblGrid>
      <w:tr>
        <w:trPr/>
        <w:tc>
          <w:tcPr>
            <w:tcW w:w="4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Revolving loan to Webster Bank (“Webster”)</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17,618,000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12,905,000</w:t>
            </w:r>
          </w:p>
        </w:tc>
        <w:tc>
          <w:tcPr>
            <w:tcW w:w="17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Term loan, Webster</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5,855,000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5,225,000</w:t>
            </w:r>
          </w:p>
        </w:tc>
        <w:tc>
          <w:tcPr>
            <w:tcW w:w="17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CT Green Bank Loan</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971,000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970,000</w:t>
            </w:r>
          </w:p>
        </w:tc>
        <w:tc>
          <w:tcPr>
            <w:tcW w:w="17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Finance lease obligations</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784,000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1,007,000</w:t>
            </w:r>
          </w:p>
        </w:tc>
        <w:tc>
          <w:tcPr>
            <w:tcW w:w="17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Loans Payable - financed assets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14,000</w:t>
            </w:r>
          </w:p>
        </w:tc>
        <w:tc>
          <w:tcPr>
            <w:tcW w:w="17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Subtotal</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25,233,000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pPr>
            <w:r>
              <w:rPr/>
              <w:t>20,121,000</w:t>
            </w:r>
          </w:p>
        </w:tc>
        <w:tc>
          <w:tcPr>
            <w:tcW w:w="17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Less: Current portion</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(23,721,000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(18,362,000</w:t>
            </w:r>
          </w:p>
        </w:tc>
        <w:tc>
          <w:tcPr>
            <w:tcW w:w="17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Long Term Portion</w:t>
            </w:r>
          </w:p>
        </w:tc>
        <w:tc>
          <w:tcPr>
            <w:tcW w:w="90" w:type="dxa"/>
            <w:tcBorders/>
            <w:shd w:fill="FFFFFF" w:val="clear"/>
            <w:vAlign w:val="center"/>
          </w:tcPr>
          <w:p>
            <w:pPr>
              <w:pStyle w:val="TableContents"/>
              <w:bidi w:val="0"/>
              <w:spacing w:before="0" w:after="283"/>
              <w:jc w:val="left"/>
              <w:rPr/>
            </w:pPr>
            <w:r>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FFFFFF" w:val="clear"/>
            <w:tcMar>
              <w:bottom w:w="28" w:type="dxa"/>
            </w:tcMar>
            <w:vAlign w:val="center"/>
          </w:tcPr>
          <w:p>
            <w:pPr>
              <w:pStyle w:val="TableContents"/>
              <w:bidi w:val="0"/>
              <w:spacing w:before="0" w:after="283"/>
              <w:jc w:val="right"/>
              <w:rPr/>
            </w:pPr>
            <w:r>
              <w:rPr/>
              <w:t>1,512,000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FFFFFF" w:val="clear"/>
            <w:tcMar>
              <w:bottom w:w="28" w:type="dxa"/>
            </w:tcMar>
            <w:vAlign w:val="center"/>
          </w:tcPr>
          <w:p>
            <w:pPr>
              <w:pStyle w:val="TableContents"/>
              <w:bidi w:val="0"/>
              <w:spacing w:before="0" w:after="283"/>
              <w:jc w:val="right"/>
              <w:rPr/>
            </w:pPr>
            <w:r>
              <w:rPr/>
              <w:t>1,759,000</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credit facility (“Current Credit Facility”) with Webster Bank that expires on September 30, 2026. This facility, which was entered into on December 31, 2019, was amended several times, and now provides for a $20,000,000 revolving loan (“Revolving Line of Credit”), and a $5,700,000 term loan (“Term Loan”). An additional advance under the Term Loan was made during the first quarter of 2025 in the amount of $1,640,000 and reference herein to the “Term Loan” for periods after the date of such advance include the $1,640,000. The loan is secured by a lien on substantially all of the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is $17,618,000 outstanding under the Revolving Line of Credit and $5,855,000 under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the Current Credit Facility expires on September 30, 2026. Therefore, amounts owed under the agreement are classified as short term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shows the timing of payments due under the Term Loan:</w:t>
      </w:r>
    </w:p>
    <w:p>
      <w:pPr>
        <w:pStyle w:val="TextBody"/>
        <w:bidi w:val="0"/>
        <w:spacing w:before="0" w:after="0"/>
        <w:ind w:left="0" w:right="0" w:hanging="0"/>
        <w:jc w:val="both"/>
        <w:rPr>
          <w:caps w:val="false"/>
          <w:smallCaps w:val="false"/>
        </w:rPr>
      </w:pPr>
      <w:r>
        <w:rPr>
          <w:caps w:val="false"/>
          <w:smallCaps w:val="false"/>
        </w:rPr>
        <w:t> </w:t>
      </w:r>
    </w:p>
    <w:tbl>
      <w:tblPr>
        <w:tblW w:w="5960" w:type="dxa"/>
        <w:jc w:val="left"/>
        <w:tblInd w:w="0" w:type="dxa"/>
        <w:tblLayout w:type="fixed"/>
        <w:tblCellMar>
          <w:top w:w="0" w:type="dxa"/>
          <w:left w:w="0" w:type="dxa"/>
          <w:bottom w:w="28" w:type="dxa"/>
          <w:right w:w="0" w:type="dxa"/>
        </w:tblCellMar>
      </w:tblPr>
      <w:tblGrid>
        <w:gridCol w:w="4445"/>
        <w:gridCol w:w="90"/>
        <w:gridCol w:w="170"/>
        <w:gridCol w:w="1085"/>
        <w:gridCol w:w="170"/>
      </w:tblGrid>
      <w:tr>
        <w:trPr/>
        <w:tc>
          <w:tcPr>
            <w:tcW w:w="4445" w:type="dxa"/>
            <w:tcBorders>
              <w:bottom w:val="single" w:sz="12" w:space="0" w:color="000000"/>
            </w:tcBorders>
            <w:vAlign w:val="center"/>
          </w:tcPr>
          <w:p>
            <w:pPr>
              <w:pStyle w:val="TableContents"/>
              <w:bidi w:val="0"/>
              <w:spacing w:before="0" w:after="283"/>
              <w:jc w:val="left"/>
              <w:rPr>
                <w:b/>
              </w:rPr>
            </w:pPr>
            <w:r>
              <w:rPr>
                <w:b/>
              </w:rPr>
              <w:t>For the year ending</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70" w:type="dxa"/>
            <w:tcBorders/>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December 31,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c>
          <w:tcPr>
            <w:tcW w:w="1085" w:type="dxa"/>
            <w:tcBorders>
              <w:bottom w:val="single" w:sz="12" w:space="0" w:color="000000"/>
            </w:tcBorders>
            <w:shd w:fill="CCEEFF" w:val="clear"/>
            <w:vAlign w:val="center"/>
          </w:tcPr>
          <w:p>
            <w:pPr>
              <w:pStyle w:val="TableContents"/>
              <w:bidi w:val="0"/>
              <w:spacing w:before="0" w:after="283"/>
              <w:jc w:val="right"/>
              <w:rPr/>
            </w:pPr>
            <w:r>
              <w:rPr/>
              <w:t>5,855,000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pPr>
            <w:r>
              <w:rPr/>
              <w:t>Term Loan payable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pPr>
            <w:r>
              <w:rPr/>
              <w:t>5,855,000</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Less: Current portion of Term Loan payable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vAlign w:val="center"/>
          </w:tcPr>
          <w:p>
            <w:pPr>
              <w:pStyle w:val="TableContents"/>
              <w:bidi w:val="0"/>
              <w:spacing w:before="0" w:after="283"/>
              <w:jc w:val="right"/>
              <w:rPr/>
            </w:pPr>
            <w:r>
              <w:rPr/>
              <w:t>(5,855,000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445" w:type="dxa"/>
            <w:tcBorders/>
            <w:shd w:fill="FFFFFF" w:val="clear"/>
            <w:tcMar>
              <w:bottom w:w="0" w:type="dxa"/>
            </w:tcMar>
            <w:vAlign w:val="center"/>
          </w:tcPr>
          <w:p>
            <w:pPr>
              <w:pStyle w:val="TableContents"/>
              <w:bidi w:val="0"/>
              <w:spacing w:before="0" w:after="283"/>
              <w:jc w:val="left"/>
              <w:rPr/>
            </w:pPr>
            <w:r>
              <w:rPr/>
              <w:t>Total long-term portion of Term Loan payable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FFFFFF" w:val="clear"/>
            <w:vAlign w:val="center"/>
          </w:tcPr>
          <w:p>
            <w:pPr>
              <w:pStyle w:val="TableContents"/>
              <w:bidi w:val="0"/>
              <w:spacing w:before="0" w:after="283"/>
              <w:jc w:val="left"/>
              <w:rPr/>
            </w:pPr>
            <w:r>
              <w:rPr/>
              <w:t>$</w:t>
            </w:r>
          </w:p>
        </w:tc>
        <w:tc>
          <w:tcPr>
            <w:tcW w:w="1085" w:type="dxa"/>
            <w:tcBorders>
              <w:bottom w:val="double" w:sz="10" w:space="0" w:color="000000"/>
            </w:tcBorders>
            <w:shd w:fill="FFFFFF" w:val="cle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Current Credit Facility amounted to approximately $1,361,000 and $1,304,000 for the years ended December 31, 2025 and 2024, respectively. Interest expense includes the amortization of deferred finance costs of $69,000 and $68,000 in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summarizes various terms of the Current Credit Facility: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required to meet a Fixed Charge Coverage Ratio (as defined) that is determined at the end of each fiscal quarter on a rolling twelve month basis of 1.05x and beginning with the fiscal quarter ending September 30, 2025, the Company is required to meet a Fixed Coverage Charge Ratio of 1.25x. The Company achieved the required FCCR for the period ended September 30, 2025, but did not meet the required FCCR for the period ended June 30, 2025, having attained a ratio of only 0.76x. Pursuant to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Amendment to the current credit facility (detailed below), the Company was required to and achieved the required Fixed Coverage Charge Ratio of 1.10x for the three months ending December 31, 2025. At both December 31, 2025 and 2024, the Company was in full compliance with its covenants.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Credit Facility limits the amount of capital expenditures and dividends the Company can pay to its stockholders. As of December 31, 2025, the Company was in compliance with this Covenant.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assets are pledged as collateral.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so long as the Term Loan remains outstanding, if Excess Cash Flow (as defined) is a positive number for any fiscal year the Company shall pay an amount equal to the lesser of (i) twenty-five percent (25%) of the Excess Cash Flow for such fiscal year and (ii) the outstanding principal balance of the term loan. Such payment shall be applied to the outstanding principal balance of the Term Loan, on or prior to the April 15 immediately following such fiscal year. For the fiscal year ended December 31, 2025, based on the calculation there is no Excess Cash Flow payment required.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Both the Revolving Line of Credit and the Term Loan will bear an interest rate equal to the greater of (i) 3.50% and (ii) a rate per annum equal to the rate per annum published from time to time in the “Money Rates” table of the Wall Street Journal (or such other presentation within The Wall Street Journal as may be adopted hereafter for such information) as the base or prime rate for corporate loans at the nation’s largest commercial bank, less sixty-five hundredths (-0.65%) of one percent per annum. The average interest rate charged was 6.72% and 7.55% for the years ended December 31, 2025 and 2024,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summarizes historical amendments to the Current Credit Facility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May 31, 2024, the Company entered into a Seventh Amendment that waived the default caused by the failure to achieve the required Fixed Charge Coverage Ratio of the Sixth Amendment. This amendment further revised the Financial Covenants. For the six months ending June 30, 2025, EBITDA shall not be less than $740,000; for the nine months ending September 30, 2025, EBITDA shall not be less than $1,500,000; for the twelve months ending December 31, 2025, EBITDA shall not be less than $2,800,000. For the rolling twelve-month period ending March 31, 2025, the Company is required to achieve a Fixed Charge Coverage Ratio of 1.05x. Beginning with the rolling twelve-month period ending June 30, 2025, and going forward the required Fixed Charge Coverage Ratio is 1.25x. All other covenants remain unchanged. Additionally, this amendment increased the Term Loan by approximately $1,000,000 to $5,700,000, with monthly principal installments in the amount of $68,000. In connection with these changes, the Company paid an amendment fee of $20,000.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2025, the Company entered into an Eighth Amendment to provide for an additional Term Loan in the amount of $1,640,000 for the acquisition of additional equipment. The monthly principal installments on this additional Term Loan are $19,524. This amendment further revised the Financial Covenants. For the rolling twelve-month period ending March 31, 2025 and June 30, 2025, the Company is required to achieve a Fixed Charge Coverage Ratio of 1.05x. Beginning with the rolling twelve-month period ending September 30, 2025 and going forward, the required Fixed Charge Coverage Ratio is 1.25x. Additionally, the Company is allowed to pay off up to $4,800,000 of related party notes with funds raised in the Company’s At The Market debt offering.  All other covenants remain unchanged. In connection with these changes, the Company paid an amendment fee of $20,000.</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2025, the Company entered into a Ninth Amendment where it agreed that $3,930,000 of the proceeds from its ATM Offering would be maintained in an interest bearing account. The funds in this account serve as additional security for its obligations under the Current Credit Facility. Additionally, this amendment waived the default as June 30, 2025.</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a Tenth Amendment which waived the defaults caused by the failure to achieve the required fixed charge coverage ratio for the fiscal quarter ended June 30, 2025, and for exceeding the permitted amount of capital expenditures for the fiscal year ending December 31, 2025. Additionally, the maturity date of the revolving credit and term loans were extended to March 31, 2026, and amended the capital expenditure covenant. The Company paid an amendment fee of $40,000.</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2026, the Company entered into an Eleventh Amendment which extended the maturity date of the revolving credit and term loans to September 30, 2026. The Company paid an amendment fee of $25,000.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at any time, Webster Bank could choose to exercise additional rights, that it has as a result of the Company’s defaults under the Current Credit Facility. For example, it could increase the rate of interest or refuse to make loans under the revolving portion of the Current Credit Facility and keep the funds remitted to the collection account. If the lender were to cease making new loans under the revolving facility or limit the amount of loans under the revolving facility, the Company would lack the funds to continue or, possibly, expand operations. To date, the lender has chosen not to exercise any of its remedies, though we agreed to put $3,930,000 of ATM proceeds in an interest bearing account to serve as additional security for the Company’s obligations under the Current Credit Facility. We remain in constructive discussions with Webster Bank regarding potential extension of these obligations but there can be no assurance that an agreement will be 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amendment fees paid in connection with the Current Credit Facility that are for a future benefit of the Company are included in Deferred Financing Costs, Net, Deposits and Other Assets, in the accompanying consolidated balance sheets and are amortized over the term of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borrowing capacity of approximately $2,382,000 under the Revolving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Solar Credit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financing agreement (“Solar Credit Facility”) with CT Green Bank, a quasi-public agency of the State of Connecticut, for the installation of solar energy systems including replacing the existing roof (“Project”) at its Sterling facility. The Solar Credit Facility provided for advances to be made by CT Green Bank upon its approval of costs incurred on the Project up to $934,000. As of October 1, 2025, cumulative advances totaling $934,000 had been made including the payment of CT Green Bank’s closing costs of $25,000. Total interest accrued on the advances at the rate of 5% was $36,000.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2024, the total cumulative advances of $934,000 along with the total accrued interest of $36,000 was converted by CT Green Bank, in accordance with the financing agreement, to a 20-year level payment term loan in the amount of $970,000 with interest accruing at the rate of 5.75%. Semi-annual payments in the amount of $42,000 commenced on July 1, 2025. The first semi-annual payment was for interest only, subsequent semi-annual payments beginning with the payment due on January 1, 2026 will include both principal and interest. As of December 31, 2025, the amount classified as long term is $943,000 and the amount classified as current is $28,000.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Solar Credit Facility amounted to approximately $57,000 and $44,000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Lease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finance leases for the purchase of manufacturing equipment. The obligations for the finance leases totaled $784,000 and $1,007,000 as of December 31, 2025 and 2024, respectively. The leases have an average imputed interest rate of 7.43% per annum and are payable monthly with the final payments due between September of 2026 and May of 2030. Interest expense related to the finance leases amounted to approximately $66,000 and $73,000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9748" w:type="dxa"/>
        <w:jc w:val="left"/>
        <w:tblInd w:w="0" w:type="dxa"/>
        <w:tblLayout w:type="fixed"/>
        <w:tblCellMar>
          <w:top w:w="0" w:type="dxa"/>
          <w:left w:w="0" w:type="dxa"/>
          <w:bottom w:w="0" w:type="dxa"/>
          <w:right w:w="0" w:type="dxa"/>
        </w:tblCellMar>
      </w:tblPr>
      <w:tblGrid>
        <w:gridCol w:w="6455"/>
        <w:gridCol w:w="90"/>
        <w:gridCol w:w="245"/>
        <w:gridCol w:w="1199"/>
        <w:gridCol w:w="90"/>
        <w:gridCol w:w="90"/>
        <w:gridCol w:w="245"/>
        <w:gridCol w:w="1199"/>
        <w:gridCol w:w="135"/>
      </w:tblGrid>
      <w:tr>
        <w:trPr/>
        <w:tc>
          <w:tcPr>
            <w:tcW w:w="6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r>
          </w:p>
        </w:tc>
        <w:tc>
          <w:tcPr>
            <w:tcW w:w="135" w:type="dxa"/>
            <w:tcBorders/>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Finance Lease cost:</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Amortization of ROU assets</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197,000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176,000</w:t>
            </w:r>
          </w:p>
        </w:tc>
        <w:tc>
          <w:tcPr>
            <w:tcW w:w="135"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283"/>
              <w:jc w:val="left"/>
              <w:rPr/>
            </w:pPr>
            <w:r>
              <w:rPr/>
              <w:t>Interest on lease liabilities</w:t>
            </w:r>
          </w:p>
        </w:tc>
        <w:tc>
          <w:tcPr>
            <w:tcW w:w="90" w:type="dxa"/>
            <w:tcBorders/>
            <w:shd w:fill="FFFFFF" w:val="clear"/>
            <w:vAlign w:val="center"/>
          </w:tcPr>
          <w:p>
            <w:pPr>
              <w:pStyle w:val="TableContents"/>
              <w:bidi w:val="0"/>
              <w:spacing w:before="0" w:after="283"/>
              <w:jc w:val="left"/>
              <w:rPr/>
            </w:pPr>
            <w:r>
              <w:rPr/>
              <w:t> </w:t>
            </w:r>
          </w:p>
        </w:tc>
        <w:tc>
          <w:tcPr>
            <w:tcW w:w="2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66,000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73,000</w:t>
            </w:r>
          </w:p>
        </w:tc>
        <w:tc>
          <w:tcPr>
            <w:tcW w:w="135"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Total lease Costs</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263,000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249,000</w:t>
            </w:r>
          </w:p>
        </w:tc>
        <w:tc>
          <w:tcPr>
            <w:tcW w:w="135"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Other Information:</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283"/>
              <w:jc w:val="left"/>
              <w:rPr/>
            </w:pPr>
            <w:r>
              <w:rPr/>
              <w:t>Cash Paid for amounts included in the measurement lease liabilities:</w:t>
            </w:r>
          </w:p>
        </w:tc>
        <w:tc>
          <w:tcPr>
            <w:tcW w:w="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Financing cash flow from finance lease obligations</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223,000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196,000</w:t>
            </w:r>
          </w:p>
        </w:tc>
        <w:tc>
          <w:tcPr>
            <w:tcW w:w="135"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Supplemental disclosure of non-cash activity</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283"/>
              <w:jc w:val="left"/>
              <w:rPr/>
            </w:pPr>
            <w:r>
              <w:rPr/>
              <w:t>Acquisition of finance lease asset</w:t>
            </w:r>
          </w:p>
        </w:tc>
        <w:tc>
          <w:tcPr>
            <w:tcW w:w="90" w:type="dxa"/>
            <w:tcBorders/>
            <w:shd w:fill="FFFFFF" w:val="clear"/>
            <w:vAlign w:val="center"/>
          </w:tcPr>
          <w:p>
            <w:pPr>
              <w:pStyle w:val="TableContents"/>
              <w:bidi w:val="0"/>
              <w:spacing w:before="0" w:after="283"/>
              <w:jc w:val="left"/>
              <w:rPr/>
            </w:pPr>
            <w:r>
              <w:rPr/>
              <w:t> </w:t>
            </w:r>
          </w:p>
        </w:tc>
        <w:tc>
          <w:tcPr>
            <w:tcW w:w="2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FFFFFF" w:val="clear"/>
            <w:tcMar>
              <w:bottom w:w="28" w:type="dxa"/>
            </w:tcMar>
            <w:vAlign w:val="center"/>
          </w:tcPr>
          <w:p>
            <w:pPr>
              <w:pStyle w:val="TableContents"/>
              <w:bidi w:val="0"/>
              <w:spacing w:before="0" w:after="283"/>
              <w:jc w:val="right"/>
              <w:rPr/>
            </w:pPr>
            <w:r>
              <w:rPr/>
              <w:t>319,000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63" w:type="dxa"/>
        <w:jc w:val="left"/>
        <w:tblInd w:w="0" w:type="dxa"/>
        <w:tblLayout w:type="fixed"/>
        <w:tblCellMar>
          <w:top w:w="0" w:type="dxa"/>
          <w:left w:w="0" w:type="dxa"/>
          <w:bottom w:w="0" w:type="dxa"/>
          <w:right w:w="0" w:type="dxa"/>
        </w:tblCellMar>
      </w:tblPr>
      <w:tblGrid>
        <w:gridCol w:w="5060"/>
        <w:gridCol w:w="90"/>
        <w:gridCol w:w="231"/>
        <w:gridCol w:w="1213"/>
        <w:gridCol w:w="245"/>
        <w:gridCol w:w="90"/>
        <w:gridCol w:w="231"/>
        <w:gridCol w:w="1213"/>
        <w:gridCol w:w="290"/>
      </w:tblGrid>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29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Weighted Average Remaining Lease Term - in years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4.1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4.8</w:t>
            </w:r>
          </w:p>
        </w:tc>
        <w:tc>
          <w:tcPr>
            <w:tcW w:w="29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Weighted Average Discount rate - %</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7.43</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7.44</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aggregate future minimum finance lease payment, including imputed interest are as follows:</w:t>
      </w:r>
    </w:p>
    <w:p>
      <w:pPr>
        <w:pStyle w:val="TextBody"/>
        <w:bidi w:val="0"/>
        <w:spacing w:before="0" w:after="0"/>
        <w:ind w:left="0" w:right="0" w:hanging="0"/>
        <w:jc w:val="both"/>
        <w:rPr>
          <w:caps w:val="false"/>
          <w:smallCaps w:val="false"/>
        </w:rPr>
      </w:pPr>
      <w:r>
        <w:rPr>
          <w:caps w:val="false"/>
          <w:smallCaps w:val="false"/>
        </w:rPr>
        <w:t> </w:t>
      </w:r>
    </w:p>
    <w:tbl>
      <w:tblPr>
        <w:tblW w:w="5705" w:type="dxa"/>
        <w:jc w:val="left"/>
        <w:tblInd w:w="0" w:type="dxa"/>
        <w:tblLayout w:type="fixed"/>
        <w:tblCellMar>
          <w:top w:w="0" w:type="dxa"/>
          <w:left w:w="0" w:type="dxa"/>
          <w:bottom w:w="28" w:type="dxa"/>
          <w:right w:w="0" w:type="dxa"/>
        </w:tblCellMar>
      </w:tblPr>
      <w:tblGrid>
        <w:gridCol w:w="4370"/>
        <w:gridCol w:w="90"/>
        <w:gridCol w:w="170"/>
        <w:gridCol w:w="905"/>
        <w:gridCol w:w="170"/>
      </w:tblGrid>
      <w:tr>
        <w:trPr/>
        <w:tc>
          <w:tcPr>
            <w:tcW w:w="4370" w:type="dxa"/>
            <w:tcBorders>
              <w:bottom w:val="single" w:sz="12" w:space="0" w:color="000000"/>
            </w:tcBorders>
            <w:vAlign w:val="center"/>
          </w:tcPr>
          <w:p>
            <w:pPr>
              <w:pStyle w:val="TableContents"/>
              <w:bidi w:val="0"/>
              <w:spacing w:before="0" w:after="283"/>
              <w:jc w:val="left"/>
              <w:rPr>
                <w:b/>
              </w:rPr>
            </w:pPr>
            <w:r>
              <w:rPr>
                <w:b/>
              </w:rPr>
              <w:t>For the year ending</w:t>
            </w:r>
          </w:p>
        </w:tc>
        <w:tc>
          <w:tcPr>
            <w:tcW w:w="90" w:type="dxa"/>
            <w:tcBorders/>
            <w:tcMar>
              <w:bottom w:w="0" w:type="dxa"/>
            </w:tcMar>
            <w:vAlign w:val="center"/>
          </w:tcPr>
          <w:p>
            <w:pPr>
              <w:pStyle w:val="TableContents"/>
              <w:bidi w:val="0"/>
              <w:spacing w:before="0" w:after="283"/>
              <w:jc w:val="left"/>
              <w:rPr/>
            </w:pPr>
            <w:r>
              <w:rPr/>
              <w:t> </w:t>
            </w:r>
          </w:p>
        </w:tc>
        <w:tc>
          <w:tcPr>
            <w:tcW w:w="1075"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70" w:type="dxa"/>
            <w:tcBorders/>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December 31,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905" w:type="dxa"/>
            <w:tcBorders/>
            <w:shd w:fill="CCEEFF" w:val="clear"/>
            <w:tcMar>
              <w:bottom w:w="0" w:type="dxa"/>
            </w:tcMar>
            <w:vAlign w:val="center"/>
          </w:tcPr>
          <w:p>
            <w:pPr>
              <w:pStyle w:val="TableContents"/>
              <w:bidi w:val="0"/>
              <w:spacing w:before="0" w:after="283"/>
              <w:jc w:val="right"/>
              <w:rPr/>
            </w:pPr>
            <w:r>
              <w:rPr/>
              <w:t>266,000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shd w:fill="FFFFFF" w:val="clear"/>
            <w:tcMar>
              <w:bottom w:w="0" w:type="dxa"/>
            </w:tcMar>
            <w:vAlign w:val="center"/>
          </w:tcPr>
          <w:p>
            <w:pPr>
              <w:pStyle w:val="TableContents"/>
              <w:bidi w:val="0"/>
              <w:spacing w:before="0" w:after="283"/>
              <w:jc w:val="left"/>
              <w:rPr/>
            </w:pPr>
            <w:r>
              <w:rPr/>
              <w:t>December 31, 2027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190,000</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December 31, 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190,000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shd w:fill="FFFFFF" w:val="clear"/>
            <w:tcMar>
              <w:bottom w:w="0" w:type="dxa"/>
            </w:tcMar>
            <w:vAlign w:val="center"/>
          </w:tcPr>
          <w:p>
            <w:pPr>
              <w:pStyle w:val="TableContents"/>
              <w:bidi w:val="0"/>
              <w:spacing w:before="0" w:after="283"/>
              <w:jc w:val="left"/>
              <w:rPr/>
            </w:pPr>
            <w:r>
              <w:rPr/>
              <w:t>December 31, 2029</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190,000</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December 31, 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905" w:type="dxa"/>
            <w:tcBorders>
              <w:bottom w:val="single" w:sz="12" w:space="0" w:color="000000"/>
            </w:tcBorders>
            <w:shd w:fill="CCEEFF" w:val="clear"/>
            <w:vAlign w:val="center"/>
          </w:tcPr>
          <w:p>
            <w:pPr>
              <w:pStyle w:val="TableContents"/>
              <w:bidi w:val="0"/>
              <w:spacing w:before="0" w:after="283"/>
              <w:jc w:val="right"/>
              <w:rPr/>
            </w:pPr>
            <w:r>
              <w:rPr/>
              <w:t>74,000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70" w:type="dxa"/>
            <w:tcBorders/>
            <w:shd w:fill="FFFFFF" w:val="clear"/>
            <w:tcMar>
              <w:bottom w:w="0" w:type="dxa"/>
            </w:tcMar>
            <w:vAlign w:val="center"/>
          </w:tcPr>
          <w:p>
            <w:pPr>
              <w:pStyle w:val="TableContents"/>
              <w:bidi w:val="0"/>
              <w:spacing w:before="0" w:after="283"/>
              <w:jc w:val="left"/>
              <w:rPr/>
            </w:pPr>
            <w:r>
              <w:rPr/>
              <w:t>Total future minimum finance lease payments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905" w:type="dxa"/>
            <w:tcBorders/>
            <w:shd w:fill="FFFFFF" w:val="clear"/>
            <w:tcMar>
              <w:bottom w:w="0" w:type="dxa"/>
            </w:tcMar>
            <w:vAlign w:val="center"/>
          </w:tcPr>
          <w:p>
            <w:pPr>
              <w:pStyle w:val="TableContents"/>
              <w:bidi w:val="0"/>
              <w:spacing w:before="0" w:after="283"/>
              <w:jc w:val="right"/>
              <w:rPr/>
            </w:pPr>
            <w:r>
              <w:rPr/>
              <w:t>910,000</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370" w:type="dxa"/>
            <w:tcBorders/>
            <w:shd w:fill="CCEEFF" w:val="clear"/>
            <w:tcMar>
              <w:bottom w:w="0" w:type="dxa"/>
            </w:tcMar>
            <w:vAlign w:val="center"/>
          </w:tcPr>
          <w:p>
            <w:pPr>
              <w:pStyle w:val="TableContents"/>
              <w:bidi w:val="0"/>
              <w:spacing w:before="0" w:after="283"/>
              <w:jc w:val="left"/>
              <w:rPr/>
            </w:pPr>
            <w:r>
              <w:rPr/>
              <w:t>Less: imputed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(126,000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370" w:type="dxa"/>
            <w:tcBorders/>
            <w:shd w:fill="FFFFFF" w:val="clear"/>
            <w:tcMar>
              <w:bottom w:w="0" w:type="dxa"/>
            </w:tcMar>
            <w:vAlign w:val="center"/>
          </w:tcPr>
          <w:p>
            <w:pPr>
              <w:pStyle w:val="TableContents"/>
              <w:bidi w:val="0"/>
              <w:spacing w:before="0" w:after="283"/>
              <w:jc w:val="left"/>
              <w:rPr/>
            </w:pPr>
            <w:r>
              <w:rPr/>
              <w:t>Less: Current portion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(215,000</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283"/>
              <w:jc w:val="left"/>
              <w:rPr/>
            </w:pPr>
            <w:r>
              <w:rPr/>
              <w:t>Long-term portion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905" w:type="dxa"/>
            <w:tcBorders>
              <w:bottom w:val="double" w:sz="10" w:space="0" w:color="000000"/>
            </w:tcBorders>
            <w:shd w:fill="CCEEFF" w:val="clear"/>
            <w:vAlign w:val="center"/>
          </w:tcPr>
          <w:p>
            <w:pPr>
              <w:pStyle w:val="TableContents"/>
              <w:bidi w:val="0"/>
              <w:spacing w:before="0" w:after="283"/>
              <w:jc w:val="right"/>
              <w:rPr/>
            </w:pPr>
            <w:r>
              <w:rPr/>
              <w:t>569,000</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Payable – Financed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financed the purchase of a delivery vehicle in July 2020. The loan obligation totaled $5,000 and $14,000 as of December 31, 2025 and 2024, respectively. The loan bears no interest and a final payment is due and payable for all unpaid principal on July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maturities of this loan are as follows:</w:t>
      </w:r>
    </w:p>
    <w:p>
      <w:pPr>
        <w:pStyle w:val="TextBody"/>
        <w:bidi w:val="0"/>
        <w:spacing w:before="0" w:after="0"/>
        <w:ind w:left="0" w:right="0" w:hanging="0"/>
        <w:jc w:val="both"/>
        <w:rPr>
          <w:caps w:val="false"/>
          <w:smallCaps w:val="false"/>
        </w:rPr>
      </w:pPr>
      <w:r>
        <w:rPr>
          <w:caps w:val="false"/>
          <w:smallCaps w:val="false"/>
        </w:rPr>
        <w:t> </w:t>
      </w:r>
    </w:p>
    <w:tbl>
      <w:tblPr>
        <w:tblW w:w="4215" w:type="dxa"/>
        <w:jc w:val="left"/>
        <w:tblInd w:w="0" w:type="dxa"/>
        <w:tblLayout w:type="fixed"/>
        <w:tblCellMar>
          <w:top w:w="0" w:type="dxa"/>
          <w:left w:w="0" w:type="dxa"/>
          <w:bottom w:w="28" w:type="dxa"/>
          <w:right w:w="0" w:type="dxa"/>
        </w:tblCellMar>
      </w:tblPr>
      <w:tblGrid>
        <w:gridCol w:w="3065"/>
        <w:gridCol w:w="90"/>
        <w:gridCol w:w="181"/>
        <w:gridCol w:w="709"/>
        <w:gridCol w:w="170"/>
      </w:tblGrid>
      <w:tr>
        <w:trPr/>
        <w:tc>
          <w:tcPr>
            <w:tcW w:w="3065" w:type="dxa"/>
            <w:tcBorders>
              <w:bottom w:val="single" w:sz="12" w:space="0" w:color="000000"/>
            </w:tcBorders>
            <w:vAlign w:val="center"/>
          </w:tcPr>
          <w:p>
            <w:pPr>
              <w:pStyle w:val="TableContents"/>
              <w:bidi w:val="0"/>
              <w:spacing w:before="0" w:after="283"/>
              <w:jc w:val="left"/>
              <w:rPr>
                <w:b/>
              </w:rPr>
            </w:pPr>
            <w:r>
              <w:rPr>
                <w:b/>
              </w:rPr>
              <w:t>For the year ending</w:t>
            </w:r>
          </w:p>
        </w:tc>
        <w:tc>
          <w:tcPr>
            <w:tcW w:w="9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70" w:type="dxa"/>
            <w:tcBorders/>
            <w:tcMar>
              <w:bottom w:w="0" w:type="dxa"/>
            </w:tcMar>
            <w:vAlign w:val="center"/>
          </w:tcPr>
          <w:p>
            <w:pPr>
              <w:pStyle w:val="TableContents"/>
              <w:bidi w:val="0"/>
              <w:spacing w:before="0" w:after="283"/>
              <w:jc w:val="left"/>
              <w:rPr/>
            </w:pPr>
            <w:r>
              <w:rPr/>
              <w:t> </w:t>
            </w:r>
          </w:p>
        </w:tc>
      </w:tr>
      <w:tr>
        <w:trPr/>
        <w:tc>
          <w:tcPr>
            <w:tcW w:w="3065" w:type="dxa"/>
            <w:tcBorders/>
            <w:shd w:fill="CCEEFF" w:val="clear"/>
            <w:tcMar>
              <w:bottom w:w="0" w:type="dxa"/>
            </w:tcMar>
            <w:vAlign w:val="center"/>
          </w:tcPr>
          <w:p>
            <w:pPr>
              <w:pStyle w:val="TableContents"/>
              <w:bidi w:val="0"/>
              <w:spacing w:before="0" w:after="283"/>
              <w:jc w:val="left"/>
              <w:rPr/>
            </w:pPr>
            <w:r>
              <w:rPr/>
              <w:t>December 31,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12" w:space="0" w:color="000000"/>
            </w:tcBorders>
            <w:shd w:fill="CCEEFF" w:val="clear"/>
            <w:vAlign w:val="center"/>
          </w:tcPr>
          <w:p>
            <w:pPr>
              <w:pStyle w:val="TableContents"/>
              <w:bidi w:val="0"/>
              <w:spacing w:before="0" w:after="283"/>
              <w:jc w:val="left"/>
              <w:rPr/>
            </w:pPr>
            <w:r>
              <w:rPr/>
              <w:t> </w:t>
            </w:r>
          </w:p>
        </w:tc>
        <w:tc>
          <w:tcPr>
            <w:tcW w:w="709" w:type="dxa"/>
            <w:tcBorders>
              <w:bottom w:val="single" w:sz="12" w:space="0" w:color="000000"/>
            </w:tcBorders>
            <w:shd w:fill="CCEEFF" w:val="clear"/>
            <w:vAlign w:val="center"/>
          </w:tcPr>
          <w:p>
            <w:pPr>
              <w:pStyle w:val="TableContents"/>
              <w:bidi w:val="0"/>
              <w:spacing w:before="0" w:after="283"/>
              <w:jc w:val="right"/>
              <w:rPr/>
            </w:pPr>
            <w:r>
              <w:rPr/>
              <w:t>5,000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065" w:type="dxa"/>
            <w:tcBorders/>
            <w:shd w:fill="FFFFFF" w:val="clear"/>
            <w:tcMar>
              <w:bottom w:w="0" w:type="dxa"/>
            </w:tcMar>
            <w:vAlign w:val="center"/>
          </w:tcPr>
          <w:p>
            <w:pPr>
              <w:pStyle w:val="TableContents"/>
              <w:bidi w:val="0"/>
              <w:spacing w:before="0" w:after="283"/>
              <w:jc w:val="left"/>
              <w:rPr/>
            </w:pPr>
            <w:r>
              <w:rPr/>
              <w:t>Loans Payable - financed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709" w:type="dxa"/>
            <w:tcBorders/>
            <w:shd w:fill="FFFFFF" w:val="clear"/>
            <w:tcMar>
              <w:bottom w:w="0" w:type="dxa"/>
            </w:tcMar>
            <w:vAlign w:val="center"/>
          </w:tcPr>
          <w:p>
            <w:pPr>
              <w:pStyle w:val="TableContents"/>
              <w:bidi w:val="0"/>
              <w:spacing w:before="0" w:after="283"/>
              <w:jc w:val="right"/>
              <w:rPr/>
            </w:pPr>
            <w:r>
              <w:rPr/>
              <w:t>5,000</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065" w:type="dxa"/>
            <w:tcBorders/>
            <w:shd w:fill="CCEEFF" w:val="clear"/>
            <w:tcMar>
              <w:bottom w:w="0" w:type="dxa"/>
            </w:tcMar>
            <w:vAlign w:val="center"/>
          </w:tcPr>
          <w:p>
            <w:pPr>
              <w:pStyle w:val="TableContents"/>
              <w:bidi w:val="0"/>
              <w:spacing w:before="0" w:after="283"/>
              <w:jc w:val="left"/>
              <w:rPr/>
            </w:pPr>
            <w:r>
              <w:rPr/>
              <w:t>Less: Current portion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single" w:sz="12" w:space="0" w:color="000000"/>
            </w:tcBorders>
            <w:shd w:fill="CCEEFF" w:val="clear"/>
            <w:vAlign w:val="center"/>
          </w:tcPr>
          <w:p>
            <w:pPr>
              <w:pStyle w:val="TableContents"/>
              <w:bidi w:val="0"/>
              <w:spacing w:before="0" w:after="283"/>
              <w:jc w:val="left"/>
              <w:rPr/>
            </w:pPr>
            <w:r>
              <w:rPr/>
              <w:t> </w:t>
            </w:r>
          </w:p>
        </w:tc>
        <w:tc>
          <w:tcPr>
            <w:tcW w:w="709" w:type="dxa"/>
            <w:tcBorders>
              <w:bottom w:val="single" w:sz="12" w:space="0" w:color="000000"/>
            </w:tcBorders>
            <w:shd w:fill="CCEEFF" w:val="clear"/>
            <w:vAlign w:val="center"/>
          </w:tcPr>
          <w:p>
            <w:pPr>
              <w:pStyle w:val="TableContents"/>
              <w:bidi w:val="0"/>
              <w:spacing w:before="0" w:after="283"/>
              <w:jc w:val="right"/>
              <w:rPr/>
            </w:pPr>
            <w:r>
              <w:rPr/>
              <w:t>(5,000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065" w:type="dxa"/>
            <w:tcBorders/>
            <w:shd w:fill="FFFFFF" w:val="clear"/>
            <w:tcMar>
              <w:bottom w:w="0" w:type="dxa"/>
            </w:tcMar>
            <w:vAlign w:val="center"/>
          </w:tcPr>
          <w:p>
            <w:pPr>
              <w:pStyle w:val="TableContents"/>
              <w:bidi w:val="0"/>
              <w:spacing w:before="0" w:after="283"/>
              <w:jc w:val="left"/>
              <w:rPr/>
            </w:pPr>
            <w:r>
              <w:rPr/>
              <w:t>Long-term portion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double" w:sz="10" w:space="0" w:color="000000"/>
            </w:tcBorders>
            <w:shd w:fill="FFFFFF" w:val="clear"/>
            <w:vAlign w:val="center"/>
          </w:tcPr>
          <w:p>
            <w:pPr>
              <w:pStyle w:val="TableContents"/>
              <w:bidi w:val="0"/>
              <w:spacing w:before="0" w:after="283"/>
              <w:jc w:val="left"/>
              <w:rPr/>
            </w:pPr>
            <w:r>
              <w:rPr/>
              <w:t>$</w:t>
            </w:r>
          </w:p>
        </w:tc>
        <w:tc>
          <w:tcPr>
            <w:tcW w:w="709" w:type="dxa"/>
            <w:tcBorders>
              <w:bottom w:val="double" w:sz="10" w:space="0" w:color="000000"/>
            </w:tcBorders>
            <w:shd w:fill="FFFFFF" w:val="clear"/>
            <w:vAlign w:val="center"/>
          </w:tcPr>
          <w:p>
            <w:pPr>
              <w:pStyle w:val="TableContents"/>
              <w:bidi w:val="0"/>
              <w:spacing w:before="0" w:after="0"/>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Taglich Brothers, Inc. is a corporation co-founded by two directors of the Company, Michael and Robert Taglich.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Taglich Brothers, Inc. has acted as placement agent for various debt and equity financing transactions and has received cash and equity compensation for their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2016 through 2020, the Company entered into various subordinated notes payable and convertible subordinated notes payable (together referred to as “Related Party Notes”) with Michael and Robert Taglich which generated proceeds to the Company totaling $6,550,000. In connection with the issuance of the Related Party Notes, Michael and Robert Taglich were issued a total of 35,508 shares of common stock and Taglich Brothers, Inc. was issued promissory notes totaling $554,000 for placement agency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Eighth Amendment to the Current Credit Facility, the Company was allowed to make principal payments of up to $4,800,000 prior to June 30, 2025, with funds raised in the Company’s ATM Offering. The Company paid a total of $1,291,000 of principal payments. Of the $1,291,000 paid, $1,050,000 was paid to Michael Taglich and $241,000 was paid to Taglich Brothers,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Notes outstanding as of December 31, 2025 consists of:</w:t>
      </w:r>
    </w:p>
    <w:p>
      <w:pPr>
        <w:pStyle w:val="TextBody"/>
        <w:bidi w:val="0"/>
        <w:spacing w:before="0" w:after="0"/>
        <w:ind w:left="0" w:right="0" w:hanging="0"/>
        <w:jc w:val="both"/>
        <w:rPr>
          <w:caps w:val="false"/>
          <w:smallCaps w:val="false"/>
        </w:rPr>
      </w:pPr>
      <w:r>
        <w:rPr>
          <w:caps w:val="false"/>
          <w:smallCaps w:val="false"/>
        </w:rPr>
        <w:t> </w:t>
      </w:r>
    </w:p>
    <w:tbl>
      <w:tblPr>
        <w:tblW w:w="8424" w:type="dxa"/>
        <w:jc w:val="left"/>
        <w:tblInd w:w="0" w:type="dxa"/>
        <w:tblLayout w:type="fixed"/>
        <w:tblCellMar>
          <w:top w:w="0" w:type="dxa"/>
          <w:left w:w="0" w:type="dxa"/>
          <w:bottom w:w="0" w:type="dxa"/>
          <w:right w:w="0" w:type="dxa"/>
        </w:tblCellMar>
      </w:tblPr>
      <w:tblGrid>
        <w:gridCol w:w="3110"/>
        <w:gridCol w:w="90"/>
        <w:gridCol w:w="170"/>
        <w:gridCol w:w="1010"/>
        <w:gridCol w:w="90"/>
        <w:gridCol w:w="90"/>
        <w:gridCol w:w="170"/>
        <w:gridCol w:w="1010"/>
        <w:gridCol w:w="90"/>
        <w:gridCol w:w="90"/>
        <w:gridCol w:w="191"/>
        <w:gridCol w:w="818"/>
        <w:gridCol w:w="90"/>
        <w:gridCol w:w="90"/>
        <w:gridCol w:w="170"/>
        <w:gridCol w:w="1010"/>
        <w:gridCol w:w="135"/>
      </w:tblGrid>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Michael</w:t>
              <w:br/>
              <w:t>Taglich,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Robert</w:t>
              <w:br/>
              <w:t>Taglich,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Taglich</w:t>
              <w:br/>
              <w:t>Brothers,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Director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Director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Convertible Subordinated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2,416,000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1,905,000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818"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4,321,000</w:t>
            </w:r>
          </w:p>
        </w:tc>
        <w:tc>
          <w:tcPr>
            <w:tcW w:w="13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Subordinated Notes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550,000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8"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550,000</w:t>
            </w:r>
          </w:p>
        </w:tc>
        <w:tc>
          <w:tcPr>
            <w:tcW w:w="13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2,416,000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2,455,000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4,871,000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Notes outstanding as of December 31, 2024 consist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9"/>
        <w:gridCol w:w="90"/>
        <w:gridCol w:w="249"/>
        <w:gridCol w:w="1482"/>
        <w:gridCol w:w="90"/>
        <w:gridCol w:w="90"/>
        <w:gridCol w:w="236"/>
        <w:gridCol w:w="1406"/>
        <w:gridCol w:w="90"/>
        <w:gridCol w:w="90"/>
        <w:gridCol w:w="306"/>
        <w:gridCol w:w="1508"/>
        <w:gridCol w:w="90"/>
        <w:gridCol w:w="90"/>
        <w:gridCol w:w="170"/>
        <w:gridCol w:w="1010"/>
        <w:gridCol w:w="139"/>
      </w:tblGrid>
      <w:tr>
        <w:trPr/>
        <w:tc>
          <w:tcPr>
            <w:tcW w:w="30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Michael Taglich,</w:t>
              <w:br/>
              <w:t>Director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Robert Taglich,</w:t>
              <w:br/>
              <w:t>Director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Taglich Brothers,</w:t>
              <w:br/>
              <w:t>Inc.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9" w:type="dxa"/>
            <w:tcBorders/>
            <w:vAlign w:val="center"/>
          </w:tcPr>
          <w:p>
            <w:pPr>
              <w:pStyle w:val="TableContents"/>
              <w:bidi w:val="0"/>
              <w:spacing w:before="0" w:after="283"/>
              <w:jc w:val="left"/>
              <w:rPr/>
            </w:pPr>
            <w:r>
              <w:rPr/>
              <w:t> </w:t>
            </w:r>
          </w:p>
        </w:tc>
      </w:tr>
      <w:tr>
        <w:trPr/>
        <w:tc>
          <w:tcPr>
            <w:tcW w:w="3069" w:type="dxa"/>
            <w:tcBorders/>
            <w:shd w:fill="CCEEFF" w:val="clear"/>
            <w:vAlign w:val="center"/>
          </w:tcPr>
          <w:p>
            <w:pPr>
              <w:pStyle w:val="TableContents"/>
              <w:bidi w:val="0"/>
              <w:spacing w:before="0" w:after="283"/>
              <w:jc w:val="left"/>
              <w:rPr/>
            </w:pPr>
            <w:r>
              <w:rPr/>
              <w:t>Convertible Subordinated Notes</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482" w:type="dxa"/>
            <w:tcBorders/>
            <w:shd w:fill="CCEEFF" w:val="clear"/>
            <w:vAlign w:val="center"/>
          </w:tcPr>
          <w:p>
            <w:pPr>
              <w:pStyle w:val="TableContents"/>
              <w:bidi w:val="0"/>
              <w:spacing w:before="0" w:after="283"/>
              <w:jc w:val="right"/>
              <w:rPr/>
            </w:pPr>
            <w:r>
              <w:rPr/>
              <w:t>2,666,000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406" w:type="dxa"/>
            <w:tcBorders/>
            <w:shd w:fill="CCEEFF" w:val="clear"/>
            <w:vAlign w:val="center"/>
          </w:tcPr>
          <w:p>
            <w:pPr>
              <w:pStyle w:val="TableContents"/>
              <w:bidi w:val="0"/>
              <w:spacing w:before="0" w:after="283"/>
              <w:jc w:val="right"/>
              <w:rPr/>
            </w:pPr>
            <w:r>
              <w:rPr/>
              <w:t>1,905,000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1508" w:type="dxa"/>
            <w:tcBorders/>
            <w:shd w:fill="CCEEFF" w:val="clear"/>
            <w:vAlign w:val="center"/>
          </w:tcPr>
          <w:p>
            <w:pPr>
              <w:pStyle w:val="TableContents"/>
              <w:bidi w:val="0"/>
              <w:spacing w:before="0" w:after="283"/>
              <w:jc w:val="right"/>
              <w:rPr/>
            </w:pPr>
            <w:r>
              <w:rPr/>
              <w:t>241,000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4,812,000</w:t>
            </w:r>
          </w:p>
        </w:tc>
        <w:tc>
          <w:tcPr>
            <w:tcW w:w="139" w:type="dxa"/>
            <w:tcBorders/>
            <w:shd w:fill="CCEEFF" w:val="clear"/>
            <w:vAlign w:val="center"/>
          </w:tcPr>
          <w:p>
            <w:pPr>
              <w:pStyle w:val="TableContents"/>
              <w:bidi w:val="0"/>
              <w:spacing w:before="0" w:after="283"/>
              <w:jc w:val="left"/>
              <w:rPr/>
            </w:pPr>
            <w:r>
              <w:rPr/>
              <w:t> </w:t>
            </w:r>
          </w:p>
        </w:tc>
      </w:tr>
      <w:tr>
        <w:trPr/>
        <w:tc>
          <w:tcPr>
            <w:tcW w:w="3069" w:type="dxa"/>
            <w:tcBorders/>
            <w:shd w:fill="FFFFFF" w:val="clear"/>
            <w:vAlign w:val="center"/>
          </w:tcPr>
          <w:p>
            <w:pPr>
              <w:pStyle w:val="TableContents"/>
              <w:bidi w:val="0"/>
              <w:spacing w:before="0" w:after="283"/>
              <w:jc w:val="left"/>
              <w:rPr/>
            </w:pPr>
            <w:r>
              <w:rPr/>
              <w:t>Subordinated Notes</w:t>
            </w:r>
          </w:p>
        </w:tc>
        <w:tc>
          <w:tcPr>
            <w:tcW w:w="9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12" w:space="0" w:color="000000"/>
            </w:tcBorders>
            <w:shd w:fill="FFFFFF" w:val="clear"/>
            <w:tcMar>
              <w:bottom w:w="28" w:type="dxa"/>
            </w:tcMar>
            <w:vAlign w:val="center"/>
          </w:tcPr>
          <w:p>
            <w:pPr>
              <w:pStyle w:val="TableContents"/>
              <w:bidi w:val="0"/>
              <w:spacing w:before="0" w:after="283"/>
              <w:jc w:val="right"/>
              <w:rPr/>
            </w:pPr>
            <w:r>
              <w:rPr/>
              <w:t>800,000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6" w:type="dxa"/>
            <w:tcBorders>
              <w:bottom w:val="single" w:sz="12" w:space="0" w:color="000000"/>
            </w:tcBorders>
            <w:shd w:fill="FFFFFF" w:val="clear"/>
            <w:tcMar>
              <w:bottom w:w="28" w:type="dxa"/>
            </w:tcMar>
            <w:vAlign w:val="center"/>
          </w:tcPr>
          <w:p>
            <w:pPr>
              <w:pStyle w:val="TableContents"/>
              <w:bidi w:val="0"/>
              <w:spacing w:before="0" w:after="283"/>
              <w:jc w:val="right"/>
              <w:rPr/>
            </w:pPr>
            <w:r>
              <w:rPr/>
              <w:t>550,000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8"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1,350,000</w:t>
            </w:r>
          </w:p>
        </w:tc>
        <w:tc>
          <w:tcPr>
            <w:tcW w:w="139" w:type="dxa"/>
            <w:tcBorders/>
            <w:shd w:fill="FFFFFF" w:val="clear"/>
            <w:vAlign w:val="center"/>
          </w:tcPr>
          <w:p>
            <w:pPr>
              <w:pStyle w:val="TableContents"/>
              <w:bidi w:val="0"/>
              <w:spacing w:before="0" w:after="283"/>
              <w:jc w:val="left"/>
              <w:rPr/>
            </w:pPr>
            <w:r>
              <w:rPr/>
              <w:t> </w:t>
            </w:r>
          </w:p>
        </w:tc>
      </w:tr>
      <w:tr>
        <w:trPr/>
        <w:tc>
          <w:tcPr>
            <w:tcW w:w="3069"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82" w:type="dxa"/>
            <w:tcBorders>
              <w:bottom w:val="double" w:sz="10" w:space="0" w:color="000000"/>
            </w:tcBorders>
            <w:shd w:fill="CCEEFF" w:val="clear"/>
            <w:tcMar>
              <w:bottom w:w="28" w:type="dxa"/>
            </w:tcMar>
            <w:vAlign w:val="center"/>
          </w:tcPr>
          <w:p>
            <w:pPr>
              <w:pStyle w:val="TableContents"/>
              <w:bidi w:val="0"/>
              <w:spacing w:before="0" w:after="283"/>
              <w:jc w:val="right"/>
              <w:rPr/>
            </w:pPr>
            <w:r>
              <w:rPr/>
              <w:t>3,466,000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6" w:type="dxa"/>
            <w:tcBorders>
              <w:bottom w:val="double" w:sz="10" w:space="0" w:color="000000"/>
            </w:tcBorders>
            <w:shd w:fill="CCEEFF" w:val="clear"/>
            <w:tcMar>
              <w:bottom w:w="28" w:type="dxa"/>
            </w:tcMar>
            <w:vAlign w:val="center"/>
          </w:tcPr>
          <w:p>
            <w:pPr>
              <w:pStyle w:val="TableContents"/>
              <w:bidi w:val="0"/>
              <w:spacing w:before="0" w:after="283"/>
              <w:jc w:val="right"/>
              <w:rPr/>
            </w:pPr>
            <w:r>
              <w:rPr/>
              <w:t>2,455,000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08" w:type="dxa"/>
            <w:tcBorders>
              <w:bottom w:val="double" w:sz="10" w:space="0" w:color="000000"/>
            </w:tcBorders>
            <w:shd w:fill="CCEEFF" w:val="clear"/>
            <w:tcMar>
              <w:bottom w:w="28" w:type="dxa"/>
            </w:tcMar>
            <w:vAlign w:val="center"/>
          </w:tcPr>
          <w:p>
            <w:pPr>
              <w:pStyle w:val="TableContents"/>
              <w:bidi w:val="0"/>
              <w:spacing w:before="0" w:after="283"/>
              <w:jc w:val="right"/>
              <w:rPr/>
            </w:pPr>
            <w:r>
              <w:rPr/>
              <w:t>241,000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6,162,000</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$4,871,000, approximately $2,519,000 bears an annual rate of interest of 6%, $1,802,000 bears an annual rate of 7% and $550,000 bears an annual interest rate of 12%. Interest expense for the years ended December 31, 2025 and 2024 was $356,000 and $472,000,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$2,519,000 of the convertible subordinated notes can be converted at the option of the holder into Common Stock of the Company at $15.00 per share, while the remaining $1,802,000 of the convertible subordinated notes can be converted at the option of the holder into common stock of the Company at $9.30 per share. The remaining $550,000 is not convertible.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holders of the Related Party Notes extended the maturity date to October 1,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Notes are subordinate to outstanding debt pursuant to the Current Credit Facility and mature on October 1, 2026. There are no principal payments due on these notes prior to October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OPERATING LEASE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for leased office and manufacturing facilities. The leases have remaining lease terms of one to five years, some of which include options to extend or terminate the leases.</w:t>
      </w:r>
    </w:p>
    <w:p>
      <w:pPr>
        <w:pStyle w:val="TextBody"/>
        <w:bidi w:val="0"/>
        <w:spacing w:before="0" w:after="0"/>
        <w:ind w:left="0" w:right="0" w:hanging="0"/>
        <w:jc w:val="both"/>
        <w:rPr>
          <w:caps w:val="false"/>
          <w:smallCaps w:val="false"/>
        </w:rPr>
      </w:pPr>
      <w:r>
        <w:rPr>
          <w:caps w:val="false"/>
          <w:smallCaps w:val="false"/>
        </w:rPr>
        <w:t> </w:t>
      </w:r>
    </w:p>
    <w:tbl>
      <w:tblPr>
        <w:tblW w:w="9598" w:type="dxa"/>
        <w:jc w:val="left"/>
        <w:tblInd w:w="0" w:type="dxa"/>
        <w:tblLayout w:type="fixed"/>
        <w:tblCellMar>
          <w:top w:w="0" w:type="dxa"/>
          <w:left w:w="0" w:type="dxa"/>
          <w:bottom w:w="0" w:type="dxa"/>
          <w:right w:w="0" w:type="dxa"/>
        </w:tblCellMar>
      </w:tblPr>
      <w:tblGrid>
        <w:gridCol w:w="6305"/>
        <w:gridCol w:w="90"/>
        <w:gridCol w:w="208"/>
        <w:gridCol w:w="1236"/>
        <w:gridCol w:w="90"/>
        <w:gridCol w:w="90"/>
        <w:gridCol w:w="208"/>
        <w:gridCol w:w="1236"/>
        <w:gridCol w:w="135"/>
      </w:tblGrid>
      <w:tr>
        <w:trPr/>
        <w:tc>
          <w:tcPr>
            <w:tcW w:w="6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r>
          </w:p>
        </w:tc>
        <w:tc>
          <w:tcPr>
            <w:tcW w:w="135"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Operating lease cost:</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CCEEFF" w:val="clear"/>
            <w:tcMar>
              <w:bottom w:w="28" w:type="dxa"/>
            </w:tcMar>
            <w:vAlign w:val="center"/>
          </w:tcPr>
          <w:p>
            <w:pPr>
              <w:pStyle w:val="TableContents"/>
              <w:bidi w:val="0"/>
              <w:spacing w:before="0" w:after="283"/>
              <w:jc w:val="right"/>
              <w:rPr/>
            </w:pPr>
            <w:r>
              <w:rPr/>
              <w:t>1,044,000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CCEEFF" w:val="clear"/>
            <w:tcMar>
              <w:bottom w:w="28" w:type="dxa"/>
            </w:tcMar>
            <w:vAlign w:val="center"/>
          </w:tcPr>
          <w:p>
            <w:pPr>
              <w:pStyle w:val="TableContents"/>
              <w:bidi w:val="0"/>
              <w:spacing w:before="0" w:after="283"/>
              <w:jc w:val="right"/>
              <w:rPr/>
            </w:pPr>
            <w:r>
              <w:rPr/>
              <w:t>1,286,000</w:t>
            </w:r>
          </w:p>
        </w:tc>
        <w:tc>
          <w:tcPr>
            <w:tcW w:w="135"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Total lease cost</w:t>
            </w:r>
          </w:p>
        </w:tc>
        <w:tc>
          <w:tcPr>
            <w:tcW w:w="9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FFFFFF" w:val="clear"/>
            <w:tcMar>
              <w:bottom w:w="28" w:type="dxa"/>
            </w:tcMar>
            <w:vAlign w:val="center"/>
          </w:tcPr>
          <w:p>
            <w:pPr>
              <w:pStyle w:val="TableContents"/>
              <w:bidi w:val="0"/>
              <w:spacing w:before="0" w:after="283"/>
              <w:jc w:val="right"/>
              <w:rPr/>
            </w:pPr>
            <w:r>
              <w:rPr/>
              <w:t>1,044,000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FFFFFF" w:val="clear"/>
            <w:tcMar>
              <w:bottom w:w="28" w:type="dxa"/>
            </w:tcMar>
            <w:vAlign w:val="center"/>
          </w:tcPr>
          <w:p>
            <w:pPr>
              <w:pStyle w:val="TableContents"/>
              <w:bidi w:val="0"/>
              <w:spacing w:before="0" w:after="283"/>
              <w:jc w:val="right"/>
              <w:rPr/>
            </w:pPr>
            <w:r>
              <w:rPr/>
              <w:t>1,286,000</w:t>
            </w:r>
          </w:p>
        </w:tc>
        <w:tc>
          <w:tcPr>
            <w:tcW w:w="135"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Other Information</w:t>
            </w:r>
          </w:p>
        </w:tc>
        <w:tc>
          <w:tcPr>
            <w:tcW w:w="9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Cash paid for amounts included in the measurement lease liability:</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double" w:sz="10" w:space="0" w:color="000000"/>
            </w:tcBorders>
            <w:shd w:fill="CCEEFF" w:val="clear"/>
            <w:tcMar>
              <w:bottom w:w="28" w:type="dxa"/>
            </w:tcMar>
            <w:vAlign w:val="center"/>
          </w:tcPr>
          <w:p>
            <w:pPr>
              <w:pStyle w:val="TableContents"/>
              <w:bidi w:val="0"/>
              <w:spacing w:before="0" w:after="283"/>
              <w:jc w:val="right"/>
              <w:rPr/>
            </w:pPr>
            <w:r>
              <w:rPr/>
              <w:t>1,249,000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double" w:sz="10" w:space="0" w:color="000000"/>
            </w:tcBorders>
            <w:shd w:fill="CCEEFF" w:val="clear"/>
            <w:tcMar>
              <w:bottom w:w="28" w:type="dxa"/>
            </w:tcMar>
            <w:vAlign w:val="center"/>
          </w:tcPr>
          <w:p>
            <w:pPr>
              <w:pStyle w:val="TableContents"/>
              <w:bidi w:val="0"/>
              <w:spacing w:before="0" w:after="283"/>
              <w:jc w:val="right"/>
              <w:rPr/>
            </w:pPr>
            <w:r>
              <w:rPr/>
              <w:t>1,070,000</w:t>
            </w:r>
          </w:p>
        </w:tc>
        <w:tc>
          <w:tcPr>
            <w:tcW w:w="135"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Operating cash flow from operating leases</w:t>
            </w:r>
          </w:p>
        </w:tc>
        <w:tc>
          <w:tcPr>
            <w:tcW w:w="9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FFFFFF" w:val="clear"/>
            <w:tcMar>
              <w:bottom w:w="28" w:type="dxa"/>
            </w:tcMar>
            <w:vAlign w:val="center"/>
          </w:tcPr>
          <w:p>
            <w:pPr>
              <w:pStyle w:val="TableContents"/>
              <w:bidi w:val="0"/>
              <w:spacing w:before="0" w:after="283"/>
              <w:jc w:val="right"/>
              <w:rPr/>
            </w:pPr>
            <w:r>
              <w:rPr/>
              <w:t>1,249,000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FFFFFF" w:val="clear"/>
            <w:tcMar>
              <w:bottom w:w="28" w:type="dxa"/>
            </w:tcMar>
            <w:vAlign w:val="center"/>
          </w:tcPr>
          <w:p>
            <w:pPr>
              <w:pStyle w:val="TableContents"/>
              <w:bidi w:val="0"/>
              <w:spacing w:before="0" w:after="283"/>
              <w:jc w:val="right"/>
              <w:rPr/>
            </w:pPr>
            <w:r>
              <w:rPr/>
              <w:t>1,070,000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63" w:type="dxa"/>
        <w:jc w:val="left"/>
        <w:tblInd w:w="0" w:type="dxa"/>
        <w:tblLayout w:type="fixed"/>
        <w:tblCellMar>
          <w:top w:w="0" w:type="dxa"/>
          <w:left w:w="0" w:type="dxa"/>
          <w:bottom w:w="0" w:type="dxa"/>
          <w:right w:w="0" w:type="dxa"/>
        </w:tblCellMar>
      </w:tblPr>
      <w:tblGrid>
        <w:gridCol w:w="5060"/>
        <w:gridCol w:w="90"/>
        <w:gridCol w:w="231"/>
        <w:gridCol w:w="1213"/>
        <w:gridCol w:w="245"/>
        <w:gridCol w:w="90"/>
        <w:gridCol w:w="231"/>
        <w:gridCol w:w="1213"/>
        <w:gridCol w:w="290"/>
      </w:tblGrid>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29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Weighted Average Remaining Lease Term - in years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0.75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1.72</w:t>
            </w:r>
          </w:p>
        </w:tc>
        <w:tc>
          <w:tcPr>
            <w:tcW w:w="29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Weighted Average discount rate - %</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9.50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9.36</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undiscounted cash flows of operating lease payments, with remaining terms greater than one year are as follows:</w:t>
      </w:r>
    </w:p>
    <w:p>
      <w:pPr>
        <w:pStyle w:val="TextBody"/>
        <w:bidi w:val="0"/>
        <w:spacing w:before="0" w:after="0"/>
        <w:ind w:left="0" w:right="0" w:hanging="0"/>
        <w:jc w:val="both"/>
        <w:rPr>
          <w:caps w:val="false"/>
          <w:smallCaps w:val="false"/>
        </w:rPr>
      </w:pPr>
      <w:r>
        <w:rPr>
          <w:caps w:val="false"/>
          <w:smallCaps w:val="false"/>
        </w:rPr>
        <w:t> </w:t>
      </w:r>
    </w:p>
    <w:tbl>
      <w:tblPr>
        <w:tblW w:w="6290" w:type="dxa"/>
        <w:jc w:val="left"/>
        <w:tblInd w:w="0" w:type="dxa"/>
        <w:tblLayout w:type="fixed"/>
        <w:tblCellMar>
          <w:top w:w="0" w:type="dxa"/>
          <w:left w:w="0" w:type="dxa"/>
          <w:bottom w:w="0" w:type="dxa"/>
          <w:right w:w="0" w:type="dxa"/>
        </w:tblCellMar>
      </w:tblPr>
      <w:tblGrid>
        <w:gridCol w:w="4955"/>
        <w:gridCol w:w="90"/>
        <w:gridCol w:w="170"/>
        <w:gridCol w:w="905"/>
        <w:gridCol w:w="170"/>
      </w:tblGrid>
      <w:tr>
        <w:trPr/>
        <w:tc>
          <w:tcPr>
            <w:tcW w:w="4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December 31, 2026</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730,000</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Total future minimum lease payments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730,000</w:t>
            </w:r>
          </w:p>
        </w:tc>
        <w:tc>
          <w:tcPr>
            <w:tcW w:w="17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Less: discount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(28,000</w:t>
            </w:r>
          </w:p>
        </w:tc>
        <w:tc>
          <w:tcPr>
            <w:tcW w:w="170"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pPr>
            <w:r>
              <w:rPr/>
              <w:t>Total operating lease maturities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702,000</w:t>
            </w:r>
          </w:p>
        </w:tc>
        <w:tc>
          <w:tcPr>
            <w:tcW w:w="17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Less: current portion of operating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(702,000</w:t>
            </w:r>
          </w:p>
        </w:tc>
        <w:tc>
          <w:tcPr>
            <w:tcW w:w="170"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pPr>
            <w:r>
              <w:rPr/>
              <w:t>Total long term portion of operating lease maturities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STOCKHOLDERS’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 Issuances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30,699 and 39,845 shares of common stock totaling $108,000 and $157,000 in payment of Director’s fees for the years ended December 31, 2025 and 2024, respectively. Such expense is included in Operating Expenses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2025, the Company issued 57,192 shares of common stock upon the vesting of Restricted Stock Units (“RSUs”) to certain employees. The balance of the units vested were withheld to satisfy the withholding tax required to be paid on the 95,210 Restricted Share Units which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issuances of common stock due to the exercise of stock options for year ended December 31, 2025. The Company issued 15,229 shares, of common stock to net settle the exercise of stock options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2026, the Company issued 4,600 shares of common stock in payment of Director’s fees totaling $14,000.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 Sale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At The Market offering, the Company sold and issued 1,213,593 and 116,851 shares during the years ended December 31, 2025 and 2024, respectively, pursuant to a Registration Statement on Form S-3 declared effective on December 19, 2024. The gross proceeds for the years ended December 31, 2025 and 2024 were $4,866,000 and $509,000, respectively. Costs associated with sales for the years ended December 31, 2025 and 2024 were $228,000 and $182,000.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EMPLOYEE BENEFITS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employs both union and non-union employees and maintains several benefit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AIM subsidiary has a collective bargaining agreement with the United Service Workers, IUJAT, Local 355 (the “Union”). This agreement is effective until December 31, 2027 and covers the majority of AIM’s 125 personnel. The Company is not required to make a monthly contribution to Union’s United Welfare Fund and the United Services Worker’s Security Fund, the sole pension benefit for covered employees. The Company is not obligated to provide any future defined benefits. The Company is obligated to make contributions for union dues and a security fund (defined contribution plan) for the benefit of each union employee. Contributions to the security fund amounted to $146,000 and $145,000 for the years ended December 31, 2025 and 2024, respectively. The Union’s retirement plan is a defined contribution plan. As such, the Company is not responsible for the obligations of other companies in the Union’s retirement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benefits for union employees are provided through a policy with Insperity Services, Inc. (“Insperity”), a professional employer organization that provides out-sourced human resource services. The cost of such benefits are substantially borne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collective bargaining agreement contains a “no-strike” clause and a “no-lock-out” clause. The Company believes it maintains good relationships with the Union.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employees are covered under a co-employment agreement with Insperity, a professional employer organization that provides out-sourced human resource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defined contribution plans under Section 401(k) of the Internal Revenue Code (the “Plans”). Pursuant to the Plans, qualified employees may contribute a percentage of their pre-tax eligible compensation to the Plan. The Company does not match any contributions that employees may make to the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COMMITMENTS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2018, Contract Pharmacal Corp. (“Contract Pharmacal”) commenced an action, relating to a Sublease entered into between the Company and Contract Pharmacal in May 2018 with respect to the property that was formerly occupied by the Company’s former subsidiary WMI, at 110 Plant Avenue, Hauppauge, New York. In the action, Contract Pharmacal sought damages for an amount in excess of $1,000,000 for the Company’s alleged violation of the terms of the subject sublease, specifically the failure to make the entire premises available by what it claims was the Sublease commencement date. The validity of the action is extremely suspect in that the subject sublease had no specific commencement date and Contract Pharmacal ultimately received all the space. Discovery was conducted and the Plaintiff moved for summary judgement and to amend its complaint to add a new cause of action all of which the company opposed. On July 8, 2021, the Court denied Contract Pharmacal’s motion for summary judgement and to add an additional cause of action. In the Order, the Court granted Contract Pharmacal’s Motions to drop its claim for specific performance and to amend its Complaint to reduce its claim for damages to $700,000 both of which benefit the Company. Following the Court’s decision, Contract Pharmacal filed a Motion to reargue its original motion which the Company opposed. The Court denied that motion on November 30, 2021 and then on March 10, 2022, Contract Pharmacal filed an appeal of the Court’s decision with the Appellate Division of the State of New York. The Company opposed that action. The Company was again successful as the Appellate Division upheld the lower court’s denial of Contract Pharmacal’s motion for summary judgement and its motion to amend its Complaint. Contract Pharmacal has now submitted a motion to the Appellate Division requesting leave to reargue the court’s denial of its original appeal. The Company will oppose that motion. The Appellate Division has yet to act in respect to Contract Pharmacal’s most recent motion to reargue the Court’s denial of the original appeal. The Company continues to dispute the validity of the claims asserted by Contract Pharmacal and intends to contest them vigorously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engaged in various lawsuits and legal proceedings in the ordinary course of business. The Company is currently not aware of any legal proceedings the ultimate outcome of which, in its judgment based on information currently available, would have a material adverse effect on its business, financial condition or operating results. There are no proceedings in which any of the Company’s directors, officers or affiliates, or any registered or beneficial stockholder of its common stock, is an adverse party or has a material interest adverse to our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financial reporting purposes, the net pre-tax book loss for the United States and foreign entities, in the aggregate, was:</w:t>
      </w:r>
    </w:p>
    <w:p>
      <w:pPr>
        <w:pStyle w:val="TextBody"/>
        <w:bidi w:val="0"/>
        <w:spacing w:before="0" w:after="0"/>
        <w:ind w:left="0" w:right="0" w:hanging="0"/>
        <w:jc w:val="both"/>
        <w:rPr>
          <w:caps w:val="false"/>
          <w:smallCaps w:val="false"/>
        </w:rPr>
      </w:pPr>
      <w:r>
        <w:rPr>
          <w:caps w:val="false"/>
          <w:smallCaps w:val="false"/>
        </w:rPr>
        <w:t> </w:t>
      </w:r>
    </w:p>
    <w:tbl>
      <w:tblPr>
        <w:tblW w:w="4163" w:type="dxa"/>
        <w:jc w:val="left"/>
        <w:tblInd w:w="0" w:type="dxa"/>
        <w:tblLayout w:type="fixed"/>
        <w:tblCellMar>
          <w:top w:w="0" w:type="dxa"/>
          <w:left w:w="0" w:type="dxa"/>
          <w:bottom w:w="0" w:type="dxa"/>
          <w:right w:w="0" w:type="dxa"/>
        </w:tblCellMar>
      </w:tblPr>
      <w:tblGrid>
        <w:gridCol w:w="800"/>
        <w:gridCol w:w="90"/>
        <w:gridCol w:w="195"/>
        <w:gridCol w:w="1249"/>
        <w:gridCol w:w="125"/>
        <w:gridCol w:w="90"/>
        <w:gridCol w:w="195"/>
        <w:gridCol w:w="1249"/>
        <w:gridCol w:w="170"/>
      </w:tblGrid>
      <w:tr>
        <w:trPr/>
        <w:tc>
          <w:tcPr>
            <w:tcW w:w="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Year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Year Ended</w:t>
            </w:r>
          </w:p>
        </w:tc>
        <w:tc>
          <w:tcPr>
            <w:tcW w:w="17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pPr>
            <w:r>
              <w:rPr/>
              <w:t>Federal</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(1,436,000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(1,366,000</w:t>
            </w:r>
          </w:p>
        </w:tc>
        <w:tc>
          <w:tcPr>
            <w:tcW w:w="170" w:type="dxa"/>
            <w:tcBorders/>
            <w:shd w:fill="CCEEFF" w:val="clear"/>
            <w:vAlign w:val="center"/>
          </w:tcPr>
          <w:p>
            <w:pPr>
              <w:pStyle w:val="TableContents"/>
              <w:bidi w:val="0"/>
              <w:spacing w:before="0" w:after="283"/>
              <w:jc w:val="left"/>
              <w:rPr/>
            </w:pPr>
            <w:r>
              <w:rPr/>
              <w:t>)</w:t>
            </w:r>
          </w:p>
        </w:tc>
      </w:tr>
      <w:tr>
        <w:trPr/>
        <w:tc>
          <w:tcPr>
            <w:tcW w:w="800" w:type="dxa"/>
            <w:tcBorders/>
            <w:shd w:fill="FFFFFF" w:val="clear"/>
            <w:vAlign w:val="center"/>
          </w:tcPr>
          <w:p>
            <w:pPr>
              <w:pStyle w:val="TableContents"/>
              <w:bidi w:val="0"/>
              <w:spacing w:before="0" w:after="283"/>
              <w:jc w:val="left"/>
              <w:rPr/>
            </w:pPr>
            <w:r>
              <w:rPr/>
              <w:t>Foreign</w:t>
            </w:r>
          </w:p>
        </w:tc>
        <w:tc>
          <w:tcPr>
            <w:tcW w:w="9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(1,436,000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(1,366,000</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(benefit from) income taxes for the years ended December 31, 2025 and 2024, is set forth below:</w:t>
      </w:r>
    </w:p>
    <w:p>
      <w:pPr>
        <w:pStyle w:val="TextBody"/>
        <w:bidi w:val="0"/>
        <w:spacing w:before="0" w:after="0"/>
        <w:ind w:left="0" w:right="0" w:hanging="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245"/>
        <w:gridCol w:w="90"/>
        <w:gridCol w:w="227"/>
        <w:gridCol w:w="1217"/>
        <w:gridCol w:w="125"/>
        <w:gridCol w:w="90"/>
        <w:gridCol w:w="374"/>
        <w:gridCol w:w="1070"/>
        <w:gridCol w:w="135"/>
      </w:tblGrid>
      <w:tr>
        <w:trPr/>
        <w:tc>
          <w:tcPr>
            <w:tcW w:w="3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Year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Year Ended</w:t>
            </w:r>
          </w:p>
        </w:tc>
        <w:tc>
          <w:tcPr>
            <w:tcW w:w="13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3245" w:type="dxa"/>
            <w:tcBorders>
              <w:bottom w:val="single" w:sz="12" w:space="0" w:color="000000"/>
            </w:tcBorders>
            <w:tcMar>
              <w:bottom w:w="28" w:type="dxa"/>
            </w:tcMar>
            <w:vAlign w:val="center"/>
          </w:tcPr>
          <w:p>
            <w:pPr>
              <w:pStyle w:val="TableContents"/>
              <w:bidi w:val="0"/>
              <w:spacing w:before="0" w:after="283"/>
              <w:jc w:val="left"/>
              <w:rPr>
                <w:b/>
              </w:rPr>
            </w:pPr>
            <w:r>
              <w:rPr>
                <w:b/>
              </w:rPr>
              <w:t>Current</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Federal</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(131,000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0"/>
              <w:jc w:val="right"/>
              <w:rPr/>
            </w:pPr>
            <w:r>
              <w:rPr/>
              <w:t>      </w:t>
            </w:r>
            <w:r>
              <w:rPr/>
              <w:t>-</w:t>
            </w:r>
          </w:p>
        </w:tc>
        <w:tc>
          <w:tcPr>
            <w:tcW w:w="13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State</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Foreign</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Total Provision for Income Taxes</w:t>
            </w:r>
          </w:p>
        </w:tc>
        <w:tc>
          <w:tcPr>
            <w:tcW w:w="90" w:type="dxa"/>
            <w:tcBorders/>
            <w:shd w:fill="FFFFFF" w:val="clear"/>
            <w:vAlign w:val="center"/>
          </w:tcPr>
          <w:p>
            <w:pPr>
              <w:pStyle w:val="TableContents"/>
              <w:bidi w:val="0"/>
              <w:spacing w:before="0" w:after="283"/>
              <w:jc w:val="left"/>
              <w:rPr/>
            </w:pPr>
            <w:r>
              <w:rPr/>
              <w:t> </w:t>
            </w:r>
          </w:p>
        </w:tc>
        <w:tc>
          <w:tcPr>
            <w:tcW w:w="22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7" w:type="dxa"/>
            <w:tcBorders>
              <w:bottom w:val="double" w:sz="10" w:space="0" w:color="000000"/>
            </w:tcBorders>
            <w:shd w:fill="FFFFFF" w:val="clear"/>
            <w:tcMar>
              <w:bottom w:w="28" w:type="dxa"/>
            </w:tcMar>
            <w:vAlign w:val="center"/>
          </w:tcPr>
          <w:p>
            <w:pPr>
              <w:pStyle w:val="TableContents"/>
              <w:bidi w:val="0"/>
              <w:spacing w:before="0" w:after="283"/>
              <w:jc w:val="right"/>
              <w:rPr/>
            </w:pPr>
            <w:r>
              <w:rPr/>
              <w:t>(131,000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37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0"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our effective tax rate on income and the statutory rate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9624" w:type="dxa"/>
        <w:jc w:val="left"/>
        <w:tblInd w:w="0" w:type="dxa"/>
        <w:tblLayout w:type="fixed"/>
        <w:tblCellMar>
          <w:top w:w="0" w:type="dxa"/>
          <w:left w:w="0" w:type="dxa"/>
          <w:bottom w:w="0" w:type="dxa"/>
          <w:right w:w="0" w:type="dxa"/>
        </w:tblCellMar>
      </w:tblPr>
      <w:tblGrid>
        <w:gridCol w:w="6950"/>
        <w:gridCol w:w="90"/>
        <w:gridCol w:w="227"/>
        <w:gridCol w:w="1217"/>
        <w:gridCol w:w="125"/>
        <w:gridCol w:w="90"/>
        <w:gridCol w:w="90"/>
        <w:gridCol w:w="545"/>
        <w:gridCol w:w="290"/>
      </w:tblGrid>
      <w:tr>
        <w:trPr/>
        <w:tc>
          <w:tcPr>
            <w:tcW w:w="6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Year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Current tax at U.S statutory rate</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(301,000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State and local taxes, net of federal taxes (a)</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0.0</w:t>
            </w:r>
          </w:p>
        </w:tc>
        <w:tc>
          <w:tcPr>
            <w:tcW w:w="29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Changes in Valuation Allowance</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154,000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-10.7</w:t>
            </w:r>
          </w:p>
        </w:tc>
        <w:tc>
          <w:tcPr>
            <w:tcW w:w="29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Nondeductible / non taxable items</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Nondeductible/ nontaxable items</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31,000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-2.2</w:t>
            </w:r>
          </w:p>
        </w:tc>
        <w:tc>
          <w:tcPr>
            <w:tcW w:w="29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Other Adjustments</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Deferred Adjustment - Asset Write-Down Related to Transferable Credit</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115,000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-8.0</w:t>
            </w:r>
          </w:p>
        </w:tc>
        <w:tc>
          <w:tcPr>
            <w:tcW w:w="29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True-up and Other</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-0.1</w:t>
            </w:r>
          </w:p>
        </w:tc>
        <w:tc>
          <w:tcPr>
            <w:tcW w:w="290" w:type="dxa"/>
            <w:tcBorders/>
            <w:shd w:fill="FFFFFF" w:val="clear"/>
            <w:vAlign w:val="center"/>
          </w:tcPr>
          <w:p>
            <w:pPr>
              <w:pStyle w:val="TableContents"/>
              <w:bidi w:val="0"/>
              <w:spacing w:before="0" w:after="283"/>
              <w:jc w:val="left"/>
              <w:rPr/>
            </w:pPr>
            <w:r>
              <w:rPr/>
              <w:t>%</w:t>
            </w:r>
          </w:p>
        </w:tc>
      </w:tr>
      <w:tr>
        <w:trPr/>
        <w:tc>
          <w:tcPr>
            <w:tcW w:w="6950" w:type="dxa"/>
            <w:tcBorders/>
            <w:shd w:fill="CCEEFF" w:val="clear"/>
            <w:vAlign w:val="center"/>
          </w:tcPr>
          <w:p>
            <w:pPr>
              <w:pStyle w:val="TableContents"/>
              <w:bidi w:val="0"/>
              <w:spacing w:before="0" w:after="283"/>
              <w:jc w:val="left"/>
              <w:rPr/>
            </w:pPr>
            <w:r>
              <w:rPr/>
              <w:t>Sale of Transferable Credit</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(131,000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9.1</w:t>
            </w:r>
          </w:p>
        </w:tc>
        <w:tc>
          <w:tcPr>
            <w:tcW w:w="290" w:type="dxa"/>
            <w:tcBorders/>
            <w:shd w:fill="CCEEFF" w:val="clear"/>
            <w:vAlign w:val="center"/>
          </w:tcPr>
          <w:p>
            <w:pPr>
              <w:pStyle w:val="TableContents"/>
              <w:bidi w:val="0"/>
              <w:spacing w:before="0" w:after="283"/>
              <w:jc w:val="left"/>
              <w:rPr/>
            </w:pPr>
            <w:r>
              <w:rPr/>
              <w:t>%</w:t>
            </w:r>
          </w:p>
        </w:tc>
      </w:tr>
      <w:tr>
        <w:trPr/>
        <w:tc>
          <w:tcPr>
            <w:tcW w:w="6950" w:type="dxa"/>
            <w:tcBorders/>
            <w:shd w:fill="FFFFFF" w:val="clear"/>
            <w:vAlign w:val="center"/>
          </w:tcPr>
          <w:p>
            <w:pPr>
              <w:pStyle w:val="TableContents"/>
              <w:bidi w:val="0"/>
              <w:spacing w:before="0" w:after="283"/>
              <w:jc w:val="left"/>
              <w:rPr/>
            </w:pPr>
            <w:r>
              <w:rPr/>
              <w:t>Income tax expense</w:t>
            </w:r>
          </w:p>
        </w:tc>
        <w:tc>
          <w:tcPr>
            <w:tcW w:w="90" w:type="dxa"/>
            <w:tcBorders/>
            <w:shd w:fill="FFFFFF" w:val="clear"/>
            <w:vAlign w:val="center"/>
          </w:tcPr>
          <w:p>
            <w:pPr>
              <w:pStyle w:val="TableContents"/>
              <w:bidi w:val="0"/>
              <w:spacing w:before="0" w:after="283"/>
              <w:jc w:val="left"/>
              <w:rPr/>
            </w:pPr>
            <w:r>
              <w:rPr/>
              <w:t> </w:t>
            </w:r>
          </w:p>
        </w:tc>
        <w:tc>
          <w:tcPr>
            <w:tcW w:w="22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7" w:type="dxa"/>
            <w:tcBorders>
              <w:bottom w:val="double" w:sz="10" w:space="0" w:color="000000"/>
            </w:tcBorders>
            <w:shd w:fill="FFFFFF" w:val="clear"/>
            <w:tcMar>
              <w:bottom w:w="28" w:type="dxa"/>
            </w:tcMar>
            <w:vAlign w:val="center"/>
          </w:tcPr>
          <w:p>
            <w:pPr>
              <w:pStyle w:val="TableContents"/>
              <w:bidi w:val="0"/>
              <w:spacing w:before="0" w:after="283"/>
              <w:jc w:val="right"/>
              <w:rPr/>
            </w:pPr>
            <w:r>
              <w:rPr/>
              <w:t>(131,000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9.1</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4"/>
        <w:gridCol w:w="9854"/>
      </w:tblGrid>
      <w:tr>
        <w:trPr/>
        <w:tc>
          <w:tcPr>
            <w:tcW w:w="6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(a)</w:t>
            </w:r>
          </w:p>
        </w:tc>
        <w:tc>
          <w:tcPr>
            <w:tcW w:w="9854" w:type="dxa"/>
            <w:tcBorders/>
            <w:vAlign w:val="center"/>
          </w:tcPr>
          <w:p>
            <w:pPr>
              <w:pStyle w:val="TableContents"/>
              <w:bidi w:val="0"/>
              <w:spacing w:before="0" w:after="283"/>
              <w:jc w:val="both"/>
              <w:rPr/>
            </w:pPr>
            <w:r>
              <w:rPr/>
              <w:t>For the year ended December 31, 2025, state taxes in California and New York made up the majority (greater than 50% of the tax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reconciliation above has been adjusted to be presented in compliance with the guidance under ASU No. 2023-09. The Company has adopted this guidance on a prospective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for the year ended December 31, 2024, prior to the adoption of ASU No. 2023-09, the following is a reconciliation of our income tax rate computed using the federal statutory rate to our actual income tax rate.</w:t>
      </w:r>
    </w:p>
    <w:p>
      <w:pPr>
        <w:pStyle w:val="TextBody"/>
        <w:bidi w:val="0"/>
        <w:spacing w:before="0" w:after="0"/>
        <w:ind w:left="0" w:right="0" w:hanging="0"/>
        <w:jc w:val="both"/>
        <w:rPr>
          <w:caps w:val="false"/>
          <w:smallCaps w:val="false"/>
        </w:rPr>
      </w:pPr>
      <w:r>
        <w:rPr>
          <w:caps w:val="false"/>
          <w:smallCaps w:val="false"/>
        </w:rPr>
        <w:t> </w:t>
      </w:r>
    </w:p>
    <w:tbl>
      <w:tblPr>
        <w:tblW w:w="7634" w:type="dxa"/>
        <w:jc w:val="left"/>
        <w:tblInd w:w="0" w:type="dxa"/>
        <w:tblLayout w:type="fixed"/>
        <w:tblCellMar>
          <w:top w:w="0" w:type="dxa"/>
          <w:left w:w="0" w:type="dxa"/>
          <w:bottom w:w="0" w:type="dxa"/>
          <w:right w:w="0" w:type="dxa"/>
        </w:tblCellMar>
      </w:tblPr>
      <w:tblGrid>
        <w:gridCol w:w="5810"/>
        <w:gridCol w:w="90"/>
        <w:gridCol w:w="172"/>
        <w:gridCol w:w="1272"/>
        <w:gridCol w:w="290"/>
      </w:tblGrid>
      <w:tr>
        <w:trPr/>
        <w:tc>
          <w:tcPr>
            <w:tcW w:w="5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Year Ended</w:t>
            </w:r>
          </w:p>
        </w:tc>
        <w:tc>
          <w:tcPr>
            <w:tcW w:w="290"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290"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U.S. statutory income tax rate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21.00</w:t>
            </w:r>
          </w:p>
        </w:tc>
        <w:tc>
          <w:tcPr>
            <w:tcW w:w="290" w:type="dxa"/>
            <w:tcBorders/>
            <w:shd w:fill="CCEEFF" w:val="clear"/>
            <w:vAlign w:val="center"/>
          </w:tcPr>
          <w:p>
            <w:pPr>
              <w:pStyle w:val="TableContents"/>
              <w:bidi w:val="0"/>
              <w:spacing w:before="0" w:after="283"/>
              <w:jc w:val="left"/>
              <w:rPr/>
            </w:pPr>
            <w:r>
              <w:rPr/>
              <w:t>%</w:t>
            </w:r>
          </w:p>
        </w:tc>
      </w:tr>
      <w:tr>
        <w:trPr/>
        <w:tc>
          <w:tcPr>
            <w:tcW w:w="5810" w:type="dxa"/>
            <w:tcBorders/>
            <w:shd w:fill="FFFFFF" w:val="clear"/>
            <w:vAlign w:val="center"/>
          </w:tcPr>
          <w:p>
            <w:pPr>
              <w:pStyle w:val="TableContents"/>
              <w:bidi w:val="0"/>
              <w:spacing w:before="0" w:after="283"/>
              <w:jc w:val="left"/>
              <w:rPr/>
            </w:pPr>
            <w:r>
              <w:rPr/>
              <w:t>State taxes, net of federal benefit</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0.22</w:t>
            </w:r>
          </w:p>
        </w:tc>
        <w:tc>
          <w:tcPr>
            <w:tcW w:w="290" w:type="dxa"/>
            <w:tcBorders/>
            <w:shd w:fill="FFFFFF" w:val="clear"/>
            <w:vAlign w:val="center"/>
          </w:tcPr>
          <w:p>
            <w:pPr>
              <w:pStyle w:val="TableContents"/>
              <w:bidi w:val="0"/>
              <w:spacing w:before="0" w:after="283"/>
              <w:jc w:val="left"/>
              <w:rPr/>
            </w:pPr>
            <w:r>
              <w:rPr/>
              <w:t>%</w:t>
            </w:r>
          </w:p>
        </w:tc>
      </w:tr>
      <w:tr>
        <w:trPr/>
        <w:tc>
          <w:tcPr>
            <w:tcW w:w="5810" w:type="dxa"/>
            <w:tcBorders/>
            <w:shd w:fill="CCEEFF" w:val="clear"/>
            <w:vAlign w:val="center"/>
          </w:tcPr>
          <w:p>
            <w:pPr>
              <w:pStyle w:val="TableContents"/>
              <w:bidi w:val="0"/>
              <w:spacing w:before="0" w:after="283"/>
              <w:jc w:val="left"/>
              <w:rPr/>
            </w:pPr>
            <w:r>
              <w:rPr/>
              <w:t>Permanent difference, overaccruals,and non-deductible items</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-0.82</w:t>
            </w:r>
          </w:p>
        </w:tc>
        <w:tc>
          <w:tcPr>
            <w:tcW w:w="290" w:type="dxa"/>
            <w:tcBorders/>
            <w:shd w:fill="CCEEFF" w:val="clear"/>
            <w:vAlign w:val="center"/>
          </w:tcPr>
          <w:p>
            <w:pPr>
              <w:pStyle w:val="TableContents"/>
              <w:bidi w:val="0"/>
              <w:spacing w:before="0" w:after="283"/>
              <w:jc w:val="left"/>
              <w:rPr/>
            </w:pPr>
            <w:r>
              <w:rPr/>
              <w:t>%</w:t>
            </w:r>
          </w:p>
        </w:tc>
      </w:tr>
      <w:tr>
        <w:trPr/>
        <w:tc>
          <w:tcPr>
            <w:tcW w:w="5810" w:type="dxa"/>
            <w:tcBorders/>
            <w:shd w:fill="FFFFFF" w:val="clear"/>
            <w:vAlign w:val="center"/>
          </w:tcPr>
          <w:p>
            <w:pPr>
              <w:pStyle w:val="TableContents"/>
              <w:bidi w:val="0"/>
              <w:spacing w:before="0" w:after="283"/>
              <w:jc w:val="left"/>
              <w:rPr/>
            </w:pPr>
            <w:r>
              <w:rPr/>
              <w:t>Change in state rate</w:t>
            </w:r>
          </w:p>
        </w:tc>
        <w:tc>
          <w:tcPr>
            <w:tcW w:w="9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-7.53</w:t>
            </w:r>
          </w:p>
        </w:tc>
        <w:tc>
          <w:tcPr>
            <w:tcW w:w="290" w:type="dxa"/>
            <w:tcBorders/>
            <w:shd w:fill="FFFFFF" w:val="clear"/>
            <w:vAlign w:val="center"/>
          </w:tcPr>
          <w:p>
            <w:pPr>
              <w:pStyle w:val="TableContents"/>
              <w:bidi w:val="0"/>
              <w:spacing w:before="0" w:after="283"/>
              <w:jc w:val="left"/>
              <w:rPr/>
            </w:pPr>
            <w:r>
              <w:rPr/>
              <w:t>%</w:t>
            </w:r>
          </w:p>
        </w:tc>
      </w:tr>
      <w:tr>
        <w:trPr/>
        <w:tc>
          <w:tcPr>
            <w:tcW w:w="5810" w:type="dxa"/>
            <w:tcBorders/>
            <w:shd w:fill="CCEEFF" w:val="clear"/>
            <w:vAlign w:val="center"/>
          </w:tcPr>
          <w:p>
            <w:pPr>
              <w:pStyle w:val="TableContents"/>
              <w:bidi w:val="0"/>
              <w:spacing w:before="0" w:after="283"/>
              <w:jc w:val="left"/>
              <w:rPr/>
            </w:pPr>
            <w:r>
              <w:rPr/>
              <w:t>Deferred tax valuation allowance</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-13.77</w:t>
            </w:r>
          </w:p>
        </w:tc>
        <w:tc>
          <w:tcPr>
            <w:tcW w:w="290" w:type="dxa"/>
            <w:tcBorders/>
            <w:shd w:fill="CCEEFF" w:val="clear"/>
            <w:vAlign w:val="center"/>
          </w:tcPr>
          <w:p>
            <w:pPr>
              <w:pStyle w:val="TableContents"/>
              <w:bidi w:val="0"/>
              <w:spacing w:before="0" w:after="283"/>
              <w:jc w:val="left"/>
              <w:rPr/>
            </w:pPr>
            <w:r>
              <w:rPr/>
              <w:t>%</w:t>
            </w:r>
          </w:p>
        </w:tc>
      </w:tr>
      <w:tr>
        <w:trPr/>
        <w:tc>
          <w:tcPr>
            <w:tcW w:w="5810" w:type="dxa"/>
            <w:tcBorders/>
            <w:shd w:fill="FFFFFF" w:val="clear"/>
            <w:vAlign w:val="center"/>
          </w:tcPr>
          <w:p>
            <w:pPr>
              <w:pStyle w:val="TableContents"/>
              <w:bidi w:val="0"/>
              <w:spacing w:before="0" w:after="283"/>
              <w:jc w:val="left"/>
              <w:rPr/>
            </w:pPr>
            <w:r>
              <w:rPr/>
              <w:t>True-up and Other</w:t>
            </w:r>
          </w:p>
        </w:tc>
        <w:tc>
          <w:tcPr>
            <w:tcW w:w="9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0.90</w:t>
            </w:r>
          </w:p>
        </w:tc>
        <w:tc>
          <w:tcPr>
            <w:tcW w:w="290" w:type="dxa"/>
            <w:tcBorders/>
            <w:shd w:fill="FFFFFF" w:val="clear"/>
            <w:vAlign w:val="center"/>
          </w:tcPr>
          <w:p>
            <w:pPr>
              <w:pStyle w:val="TableContents"/>
              <w:bidi w:val="0"/>
              <w:spacing w:before="0" w:after="283"/>
              <w:jc w:val="left"/>
              <w:rPr/>
            </w:pPr>
            <w:r>
              <w:rPr/>
              <w:t>%</w:t>
            </w:r>
          </w:p>
        </w:tc>
      </w:tr>
      <w:tr>
        <w:trPr/>
        <w:tc>
          <w:tcPr>
            <w:tcW w:w="581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effects of temporary differences between carrying amounts of assets and liabilities for financial reporting purposes and the amounts used for income tax purposes. Realization of net deferred tax assets is dependent upon future earnings, if any, the timing and amount of which are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net deferred tax assets at December 31, are set forth below:</w:t>
      </w:r>
    </w:p>
    <w:p>
      <w:pPr>
        <w:pStyle w:val="TextBody"/>
        <w:bidi w:val="0"/>
        <w:spacing w:before="0" w:after="0"/>
        <w:ind w:left="0" w:right="0" w:hanging="0"/>
        <w:jc w:val="both"/>
        <w:rPr>
          <w:caps w:val="false"/>
          <w:smallCaps w:val="false"/>
        </w:rPr>
      </w:pPr>
      <w:r>
        <w:rPr>
          <w:caps w:val="false"/>
          <w:smallCaps w:val="false"/>
        </w:rPr>
        <w:t> </w:t>
      </w:r>
    </w:p>
    <w:tbl>
      <w:tblPr>
        <w:tblW w:w="8693" w:type="dxa"/>
        <w:jc w:val="left"/>
        <w:tblInd w:w="0" w:type="dxa"/>
        <w:tblLayout w:type="fixed"/>
        <w:tblCellMar>
          <w:top w:w="0" w:type="dxa"/>
          <w:left w:w="0" w:type="dxa"/>
          <w:bottom w:w="0" w:type="dxa"/>
          <w:right w:w="0" w:type="dxa"/>
        </w:tblCellMar>
      </w:tblPr>
      <w:tblGrid>
        <w:gridCol w:w="5330"/>
        <w:gridCol w:w="90"/>
        <w:gridCol w:w="195"/>
        <w:gridCol w:w="1249"/>
        <w:gridCol w:w="125"/>
        <w:gridCol w:w="90"/>
        <w:gridCol w:w="195"/>
        <w:gridCol w:w="1249"/>
        <w:gridCol w:w="170"/>
      </w:tblGrid>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Deferred tax assets:</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Current:</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Net operation loss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4,990,000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4,871,000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Allowance for doubtful accounts</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158,000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140,000</w:t>
            </w:r>
          </w:p>
        </w:tc>
        <w:tc>
          <w:tcPr>
            <w:tcW w:w="17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Inventory - IRC 263A adjustment</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356,000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296,000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Stock based compensation - options and restricted stock</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425,000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218,000</w:t>
            </w:r>
          </w:p>
        </w:tc>
        <w:tc>
          <w:tcPr>
            <w:tcW w:w="17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Capitalized engineering costs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75,000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134,000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Amortization - NTW Transaction</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107,000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178,000</w:t>
            </w:r>
          </w:p>
        </w:tc>
        <w:tc>
          <w:tcPr>
            <w:tcW w:w="17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Inventory reserve</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470,000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644,000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Deferred gain on sale of real estate</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14,000</w:t>
            </w:r>
          </w:p>
        </w:tc>
        <w:tc>
          <w:tcPr>
            <w:tcW w:w="17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Accrued Expenses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54,000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113,000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Disallowed interest</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2,480,000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2,269,000</w:t>
            </w:r>
          </w:p>
        </w:tc>
        <w:tc>
          <w:tcPr>
            <w:tcW w:w="17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153,000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339,000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Charitable Contributions</w:t>
            </w:r>
          </w:p>
        </w:tc>
        <w:tc>
          <w:tcPr>
            <w:tcW w:w="9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2,000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Total deferred tax asset before valuation allowance</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9,275,000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9,216,000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Valuation allowance</w:t>
            </w:r>
          </w:p>
        </w:tc>
        <w:tc>
          <w:tcPr>
            <w:tcW w:w="9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(8,306,000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(8,091,000</w:t>
            </w:r>
          </w:p>
        </w:tc>
        <w:tc>
          <w:tcPr>
            <w:tcW w:w="17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Total deferred tax asset after valuation allowance</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969,000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1,125,000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Right of Use Asset</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(112,000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(255,000</w:t>
            </w:r>
          </w:p>
        </w:tc>
        <w:tc>
          <w:tcPr>
            <w:tcW w:w="17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pPr>
            <w:r>
              <w:rPr/>
              <w:t>Property and equipment</w:t>
            </w:r>
          </w:p>
        </w:tc>
        <w:tc>
          <w:tcPr>
            <w:tcW w:w="9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(857,000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(870,000</w:t>
            </w:r>
          </w:p>
        </w:tc>
        <w:tc>
          <w:tcPr>
            <w:tcW w:w="170" w:type="dxa"/>
            <w:tcBorders/>
            <w:shd w:fill="FFFFFF" w:val="clear"/>
            <w:vAlign w:val="center"/>
          </w:tcPr>
          <w:p>
            <w:pPr>
              <w:pStyle w:val="TableContents"/>
              <w:bidi w:val="0"/>
              <w:spacing w:before="0" w:after="283"/>
              <w:jc w:val="left"/>
              <w:rPr/>
            </w:pPr>
            <w:r>
              <w:rPr/>
              <w:t>)</w:t>
            </w:r>
          </w:p>
        </w:tc>
      </w:tr>
      <w:tr>
        <w:trPr/>
        <w:tc>
          <w:tcPr>
            <w:tcW w:w="5330" w:type="dxa"/>
            <w:tcBorders/>
            <w:shd w:fill="CCEEFF" w:val="clear"/>
            <w:vAlign w:val="center"/>
          </w:tcPr>
          <w:p>
            <w:pPr>
              <w:pStyle w:val="TableContents"/>
              <w:bidi w:val="0"/>
              <w:spacing w:before="0" w:after="283"/>
              <w:jc w:val="left"/>
              <w:rPr/>
            </w:pPr>
            <w:r>
              <w:rPr/>
              <w:t>Total deferred tax liabilities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(969,000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(1,125,000</w:t>
            </w:r>
          </w:p>
        </w:tc>
        <w:tc>
          <w:tcPr>
            <w:tcW w:w="170" w:type="dxa"/>
            <w:tcBorders/>
            <w:shd w:fill="CCEEFF" w:val="clear"/>
            <w:vAlign w:val="center"/>
          </w:tcPr>
          <w:p>
            <w:pPr>
              <w:pStyle w:val="TableContents"/>
              <w:bidi w:val="0"/>
              <w:spacing w:before="0" w:after="283"/>
              <w:jc w:val="left"/>
              <w:rPr/>
            </w:pPr>
            <w:r>
              <w:rPr/>
              <w:t>)</w:t>
            </w:r>
          </w:p>
        </w:tc>
      </w:tr>
      <w:tr>
        <w:trPr/>
        <w:tc>
          <w:tcPr>
            <w:tcW w:w="533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Net deferred tax asset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was enacted (“OBBBA”), introducing significant and wide-ranging changes to the U.S. federal tax system. Significant components include restoration of 100% accelerated tax depreciation on qualifying property including expansion to cover qualified production property.   Another major aspect includes the return to immediate expensing of domestic research and experimental expenditures (“R&amp;E”) which in some cases may include retroactive application back to 2021 for businesses with gross receipts of less than $31 million or accelerated tax deductions of R&amp;E that was previously capitalized for larger businesses.  The legislation also reinstates EBITDA-based interest deductions for tax purposes and makes several business tax incentives permanent.  Less favorable business provisions include limitations on tax deductions for charitable contributions. In accordance with ASC 740, the Company recognized the effects of the OBBBA in the period that included the enactment date. The Company continues to evaluate the ongoing effects of the OBBBA, including the interaction of the enacted provisions with its existing tax attributes and 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recorded a valuation allowance equal to its net deferred tax assets. The Company determined that due to a recent history of net losses, at this time sufficient uncertainty exists regarding the future realization of these deferred tax assets through future taxable income. If, in the future, the Company believes that it is more likely than not that these deferred tax benefits will be realized, the valuation allowances will be reduced or eliminated. With a full valuation allowance, any change in the deferred tax asset or liability is fully offset by a corresponding change in the valuation allowance. At December 31, 2025 and 2024, the Company provided a valuation allowance on its net deferred tax assets of $8,306,000 and $8,091,000, respectively. The Company’s valuation allowance increased by $215,000 and $188,000 for the years ended December 31,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Federal net operating loss carry forward of approximately $22,396,000, of which approximately $14,016,000 expires from 2033 through 2037 and $8,380,000 does not expire. In addition, the Company has net operating loss carryforwards from various states of approximately $4,492,000 which expire starting in 2035.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utilization of the Company’s net operating losses may be subject to a U.S. federal limitation due to the “change in ownership provisions” under Section 382 of the Internal Revenue Code and other similar limitations in various state jurisdictions. Such limitations may result in a reduction of the amount of net operating loss carryforwards in future years and possibly the expiration of certain net operating loss carryforwards before their utilization.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generated Section 48 Energy Property Tax Credits related to qualifying energy property. The Company sold these credits to an unrelated third party. The impact of the sale are reflected in the transferable credit line items outlined in the rate reconciliation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 Company had no material unrecognized tax benefits and no adjustments to liabilities or operations were required. The Company does not expect that its unrecognized tax benefits will materially increase within the next twelve months. The Company recognizes interest and penalties related to uncertain tax positions in interest expense. As of December 31, 2025, and 2024, the Company has not recorded any provisions for accrued interest and penalties related to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cases, the Company’s uncertain tax positions are related to tax years that remain subject to examination by the relevant tax authorities. The Company files federal and state income tax returns in jurisdictions with varying statutes of limitations. The 2022 through 2025 tax years generally remain subject to examination by federal and state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payments made in relation to income taxes for the year ending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STOCK OPTIONS AND RESTRICTED STOCK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shareholders of the Company approved the amendment to the 2022 Equity Incentive Plan (“2022 Plan”) to increase the number of shares authorized to be used under the plan by 250,000 shares, from 650,000 shares to 900,000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shareholders of the Company approved the amendment to the 2022 Equity Incentive Plan (“2022 Plan”) to increase the number of shares authorized to be used under the plan by 300,000 shares, from 350,000 shares to 650,000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granted options to purchase 60,000 and 80,000 shares of common stock, respectively, to certain of its employees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stock-based compensation expense for certain employees and members of the Company’s Board of Directors of $182,000 and $317,000 in its consolidated statements of operations for the years ended December 31, 2025 and 2024, respectively, and such amounts were included as a component of operating expenses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stock options granted were estimated using the Black-Sholes option-pricing model with the following assumptions for the years ended December 31:</w:t>
      </w:r>
    </w:p>
    <w:p>
      <w:pPr>
        <w:pStyle w:val="TextBody"/>
        <w:bidi w:val="0"/>
        <w:spacing w:before="0" w:after="0"/>
        <w:ind w:left="0" w:right="0" w:hanging="0"/>
        <w:jc w:val="left"/>
        <w:rPr>
          <w:caps w:val="false"/>
          <w:smallCaps w:val="false"/>
        </w:rPr>
      </w:pPr>
      <w:r>
        <w:rPr>
          <w:caps w:val="false"/>
          <w:smallCaps w:val="false"/>
        </w:rPr>
        <w:t> </w:t>
      </w:r>
    </w:p>
    <w:tbl>
      <w:tblPr>
        <w:tblW w:w="6875" w:type="dxa"/>
        <w:jc w:val="left"/>
        <w:tblInd w:w="0" w:type="dxa"/>
        <w:tblLayout w:type="fixed"/>
        <w:tblCellMar>
          <w:top w:w="0" w:type="dxa"/>
          <w:left w:w="0" w:type="dxa"/>
          <w:bottom w:w="0" w:type="dxa"/>
          <w:right w:w="0" w:type="dxa"/>
        </w:tblCellMar>
      </w:tblPr>
      <w:tblGrid>
        <w:gridCol w:w="4640"/>
        <w:gridCol w:w="90"/>
        <w:gridCol w:w="170"/>
        <w:gridCol w:w="590"/>
        <w:gridCol w:w="245"/>
        <w:gridCol w:w="90"/>
        <w:gridCol w:w="170"/>
        <w:gridCol w:w="590"/>
        <w:gridCol w:w="290"/>
      </w:tblGrid>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Risk-free interest rates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3.8</w:t>
            </w:r>
          </w:p>
        </w:tc>
        <w:tc>
          <w:tcPr>
            <w:tcW w:w="290" w:type="dxa"/>
            <w:tcBorders/>
            <w:shd w:fill="CCEEFF" w:val="clear"/>
            <w:vAlign w:val="center"/>
          </w:tcPr>
          <w:p>
            <w:pPr>
              <w:pStyle w:val="TableContents"/>
              <w:bidi w:val="0"/>
              <w:spacing w:before="0" w:after="283"/>
              <w:jc w:val="left"/>
              <w:rPr/>
            </w:pPr>
            <w:r>
              <w:rPr/>
              <w:t>%</w:t>
            </w:r>
          </w:p>
        </w:tc>
      </w:tr>
      <w:tr>
        <w:trPr/>
        <w:tc>
          <w:tcPr>
            <w:tcW w:w="4640" w:type="dxa"/>
            <w:tcBorders/>
            <w:shd w:fill="FFFFFF" w:val="clear"/>
            <w:vAlign w:val="center"/>
          </w:tcPr>
          <w:p>
            <w:pPr>
              <w:pStyle w:val="TableContents"/>
              <w:bidi w:val="0"/>
              <w:spacing w:before="0" w:after="283"/>
              <w:jc w:val="left"/>
              <w:rPr/>
            </w:pPr>
            <w:r>
              <w:rPr/>
              <w:t>Expected life (in years)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2.6</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2.7</w:t>
            </w:r>
          </w:p>
        </w:tc>
        <w:tc>
          <w:tcPr>
            <w:tcW w:w="29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76.52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64.00</w:t>
            </w:r>
          </w:p>
        </w:tc>
        <w:tc>
          <w:tcPr>
            <w:tcW w:w="290" w:type="dxa"/>
            <w:tcBorders/>
            <w:shd w:fill="CCEEFF" w:val="clear"/>
            <w:vAlign w:val="center"/>
          </w:tcPr>
          <w:p>
            <w:pPr>
              <w:pStyle w:val="TableContents"/>
              <w:bidi w:val="0"/>
              <w:spacing w:before="0" w:after="283"/>
              <w:jc w:val="left"/>
              <w:rPr/>
            </w:pPr>
            <w:r>
              <w:rPr/>
              <w:t>%</w:t>
            </w:r>
          </w:p>
        </w:tc>
      </w:tr>
      <w:tr>
        <w:trPr/>
        <w:tc>
          <w:tcPr>
            <w:tcW w:w="4640" w:type="dxa"/>
            <w:tcBorders/>
            <w:shd w:fill="FFFFFF" w:val="clear"/>
            <w:vAlign w:val="center"/>
          </w:tcPr>
          <w:p>
            <w:pPr>
              <w:pStyle w:val="TableContents"/>
              <w:bidi w:val="0"/>
              <w:spacing w:before="0" w:after="283"/>
              <w:jc w:val="left"/>
              <w:rPr/>
            </w:pPr>
            <w:r>
              <w:rPr/>
              <w:t>Dividend yield</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0</w:t>
            </w:r>
          </w:p>
        </w:tc>
        <w:tc>
          <w:tcPr>
            <w:tcW w:w="290" w:type="dxa"/>
            <w:tcBorders/>
            <w:shd w:fill="FFFFFF" w:val="clear"/>
            <w:vAlign w:val="center"/>
          </w:tcPr>
          <w:p>
            <w:pPr>
              <w:pStyle w:val="TableContents"/>
              <w:bidi w:val="0"/>
              <w:spacing w:before="0" w:after="283"/>
              <w:jc w:val="left"/>
              <w:rPr/>
            </w:pPr>
            <w:r>
              <w:rPr/>
              <w:t>%</w:t>
            </w:r>
          </w:p>
        </w:tc>
      </w:tr>
      <w:tr>
        <w:trPr/>
        <w:tc>
          <w:tcPr>
            <w:tcW w:w="46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Weighted-average grant date fair value per share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3.00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3.75</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is the number of years that the Company estimates, based upon history, that the options will be outstanding prior to exercise or forfeiture. Expected life is determined using the “simplified method” permitted by Staff Accounting Bulletin No. 107. In addition to the inputs referenced above regarding the option pricing model, the Company adjusts the stock-based compensation expense for estimated forfeiture rates that are revised prospectively according to forfeiture experience. The stock volatility factor is based on the Company’s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the Company’s stock options as of December 31, 2025 and 2024, and changes during the years then ended are presented below.</w:t>
      </w:r>
    </w:p>
    <w:p>
      <w:pPr>
        <w:pStyle w:val="TextBody"/>
        <w:bidi w:val="0"/>
        <w:spacing w:before="0" w:after="0"/>
        <w:ind w:left="0" w:right="0" w:hanging="0"/>
        <w:jc w:val="left"/>
        <w:rPr>
          <w:caps w:val="false"/>
          <w:smallCaps w:val="false"/>
        </w:rPr>
      </w:pPr>
      <w:r>
        <w:rPr>
          <w:caps w:val="false"/>
          <w:smallCaps w:val="false"/>
        </w:rPr>
        <w:t> </w:t>
      </w:r>
    </w:p>
    <w:tbl>
      <w:tblPr>
        <w:tblW w:w="6169" w:type="dxa"/>
        <w:jc w:val="left"/>
        <w:tblInd w:w="0" w:type="dxa"/>
        <w:tblLayout w:type="fixed"/>
        <w:tblCellMar>
          <w:top w:w="0" w:type="dxa"/>
          <w:left w:w="0" w:type="dxa"/>
          <w:bottom w:w="0" w:type="dxa"/>
          <w:right w:w="0" w:type="dxa"/>
        </w:tblCellMar>
      </w:tblPr>
      <w:tblGrid>
        <w:gridCol w:w="3635"/>
        <w:gridCol w:w="90"/>
        <w:gridCol w:w="90"/>
        <w:gridCol w:w="905"/>
        <w:gridCol w:w="125"/>
        <w:gridCol w:w="90"/>
        <w:gridCol w:w="246"/>
        <w:gridCol w:w="853"/>
        <w:gridCol w:w="135"/>
      </w:tblGrid>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Wtd. Avg.</w:t>
            </w:r>
          </w:p>
        </w:tc>
        <w:tc>
          <w:tcPr>
            <w:tcW w:w="13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Exercise</w:t>
            </w:r>
          </w:p>
        </w:tc>
        <w:tc>
          <w:tcPr>
            <w:tcW w:w="13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13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Balance,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461,870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8.34</w:t>
            </w:r>
          </w:p>
        </w:tc>
        <w:tc>
          <w:tcPr>
            <w:tcW w:w="13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Granted during the period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80,000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3.75</w:t>
            </w:r>
          </w:p>
        </w:tc>
        <w:tc>
          <w:tcPr>
            <w:tcW w:w="13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Exercised during the period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(15,229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3.45</w:t>
            </w:r>
          </w:p>
        </w:tc>
        <w:tc>
          <w:tcPr>
            <w:tcW w:w="13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Terminated/Expired during the period</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(109,638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9.86</w:t>
            </w:r>
          </w:p>
        </w:tc>
        <w:tc>
          <w:tcPr>
            <w:tcW w:w="13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Balance,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417,003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7.00</w:t>
            </w:r>
          </w:p>
        </w:tc>
        <w:tc>
          <w:tcPr>
            <w:tcW w:w="13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Granted during the period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60,000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3.00</w:t>
            </w:r>
          </w:p>
        </w:tc>
        <w:tc>
          <w:tcPr>
            <w:tcW w:w="13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Exercised during the period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Terminated/Expired during the period</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(51,300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10.57</w:t>
            </w:r>
          </w:p>
        </w:tc>
        <w:tc>
          <w:tcPr>
            <w:tcW w:w="13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Balance,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425,703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6.01</w:t>
            </w:r>
          </w:p>
        </w:tc>
        <w:tc>
          <w:tcPr>
            <w:tcW w:w="13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Exercisable at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395,703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6.23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Issued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2025, the Company granted to its directors’ stock options to purchase an aggregate of 60,000 shares of the Company’s common stock at a price of $3.00 per share. The options expire on November 30, 2030 and vest over a term of six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Issued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the Company granted to its directors’ stock options to purchase an aggregate of 80,000 shares of the Company’s common stock at a price of $3.75 per share. The options expire on August 31, 2029 and vest over a term of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outstanding stock options at December 31, 2025:</w:t>
      </w:r>
    </w:p>
    <w:p>
      <w:pPr>
        <w:pStyle w:val="TextBody"/>
        <w:bidi w:val="0"/>
        <w:spacing w:before="0" w:after="0"/>
        <w:ind w:left="0" w:right="0" w:hanging="0"/>
        <w:jc w:val="both"/>
        <w:rPr>
          <w:caps w:val="false"/>
          <w:smallCaps w:val="false"/>
        </w:rPr>
      </w:pPr>
      <w:r>
        <w:rPr>
          <w:caps w:val="false"/>
          <w:smallCaps w:val="false"/>
        </w:rPr>
        <w:t> </w:t>
      </w:r>
    </w:p>
    <w:tbl>
      <w:tblPr>
        <w:tblW w:w="6424" w:type="dxa"/>
        <w:jc w:val="left"/>
        <w:tblInd w:w="0" w:type="dxa"/>
        <w:tblLayout w:type="fixed"/>
        <w:tblCellMar>
          <w:top w:w="0" w:type="dxa"/>
          <w:left w:w="0" w:type="dxa"/>
          <w:bottom w:w="0" w:type="dxa"/>
          <w:right w:w="0" w:type="dxa"/>
        </w:tblCellMar>
      </w:tblPr>
      <w:tblGrid>
        <w:gridCol w:w="2480"/>
        <w:gridCol w:w="90"/>
        <w:gridCol w:w="128"/>
        <w:gridCol w:w="1182"/>
        <w:gridCol w:w="90"/>
        <w:gridCol w:w="90"/>
        <w:gridCol w:w="1040"/>
        <w:gridCol w:w="90"/>
        <w:gridCol w:w="292"/>
        <w:gridCol w:w="807"/>
        <w:gridCol w:w="135"/>
      </w:tblGrid>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Wtd. Avg.</w:t>
            </w:r>
          </w:p>
        </w:tc>
        <w:tc>
          <w:tcPr>
            <w:tcW w:w="135" w:type="dxa"/>
            <w:tcBorders/>
            <w:vAlign w:val="center"/>
          </w:tcPr>
          <w:p>
            <w:pPr>
              <w:pStyle w:val="TableContents"/>
              <w:bidi w:val="0"/>
              <w:spacing w:before="0" w:after="283"/>
              <w:jc w:val="left"/>
              <w:rPr/>
            </w:pPr>
            <w:r>
              <w:rPr/>
              <w:t> </w:t>
            </w:r>
          </w:p>
        </w:tc>
      </w:tr>
      <w:tr>
        <w:trPr/>
        <w:tc>
          <w:tcPr>
            <w:tcW w:w="2480" w:type="dxa"/>
            <w:tcBorders>
              <w:bottom w:val="single" w:sz="12" w:space="0" w:color="000000"/>
            </w:tcBorders>
            <w:tcMar>
              <w:bottom w:w="28" w:type="dxa"/>
            </w:tcMar>
            <w:vAlign w:val="center"/>
          </w:tcPr>
          <w:p>
            <w:pPr>
              <w:pStyle w:val="TableContents"/>
              <w:bidi w:val="0"/>
              <w:spacing w:before="0" w:after="283"/>
              <w:jc w:val="left"/>
              <w:rPr>
                <w:b/>
              </w:rPr>
            </w:pPr>
            <w:r>
              <w:rPr>
                <w:b/>
              </w:rPr>
              <w:t>Range of Exercise Price</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br/>
              <w:t>Outstanding</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Wtd.Avg,</w:t>
              <w:br/>
              <w:t>Life</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Exercise </w:t>
              <w:br/>
              <w:t>Price</w:t>
            </w:r>
          </w:p>
        </w:tc>
        <w:tc>
          <w:tcPr>
            <w:tcW w:w="13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$3.00 - $23.80</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425,703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2.5 years</w:t>
            </w:r>
          </w:p>
        </w:tc>
        <w:tc>
          <w:tcPr>
            <w:tcW w:w="9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6.01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was $35,000 of unrecognized compensation cost related to non-vested stock option awards, which is to be recognized over the remaining weighted average vesting period of 0.5 years.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at December 31, 2025, based on the Company’s closing stock price of $4.07 was $121,000. The aggregate intrinsic value at December 31, 2024, based on the Company’s closing stock price of $3.25 was approximately $0. The aggregate intrinsic value was calculated based on the positive difference between the closing market price of the Company’s Common Stock and the exercise prices of the underlying options.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fair value of options granted during the years ended December 31, 2025 and 2024 was $3.75 and $3.46 per share, respectively. The total intrinsic value of options exercised during the years ended December 31, 2025 and 2024 was $20,000 and $0. The total fair value of shares vested during the years ended December 31, 2025 and 2024 was $100,000 and $417,000,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Units (“RSUs”)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granted 285,628 RSUs to certain employees with a grant date fair value of $1,713,000. These Restricted Stock Units vest solely on the basis of continued service through the vesting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the Company’s RSUs as of December 31, 2025 is presented below:</w:t>
      </w:r>
    </w:p>
    <w:p>
      <w:pPr>
        <w:pStyle w:val="TextBody"/>
        <w:bidi w:val="0"/>
        <w:spacing w:before="0" w:after="0"/>
        <w:ind w:left="0" w:right="0" w:hanging="0"/>
        <w:jc w:val="both"/>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740"/>
        <w:gridCol w:w="90"/>
        <w:gridCol w:w="113"/>
        <w:gridCol w:w="1046"/>
        <w:gridCol w:w="125"/>
        <w:gridCol w:w="90"/>
        <w:gridCol w:w="447"/>
        <w:gridCol w:w="1237"/>
        <w:gridCol w:w="135"/>
      </w:tblGrid>
      <w:tr>
        <w:trPr/>
        <w:tc>
          <w:tcPr>
            <w:tcW w:w="3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 Grant</w:t>
              <w:br/>
              <w:t>Date Fair Value</w:t>
              <w:br/>
              <w:t>per Unit</w:t>
            </w:r>
          </w:p>
        </w:tc>
        <w:tc>
          <w:tcPr>
            <w:tcW w:w="13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Unvested Units at January 1, 2024</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Granted during the period</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282,628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6.06</w:t>
            </w:r>
          </w:p>
        </w:tc>
        <w:tc>
          <w:tcPr>
            <w:tcW w:w="13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Vested during the period</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Terminated/Forfeited during the period</w:t>
            </w:r>
          </w:p>
        </w:tc>
        <w:tc>
          <w:tcPr>
            <w:tcW w:w="9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Unvested Units at December 31, 2024</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pPr>
            <w:r>
              <w:rPr/>
              <w:t>282,628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6.06</w:t>
            </w:r>
          </w:p>
        </w:tc>
        <w:tc>
          <w:tcPr>
            <w:tcW w:w="13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Granted during the period</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3,000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6.06</w:t>
            </w:r>
          </w:p>
        </w:tc>
        <w:tc>
          <w:tcPr>
            <w:tcW w:w="13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Vested during the period</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(95,210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6.06</w:t>
            </w:r>
          </w:p>
        </w:tc>
        <w:tc>
          <w:tcPr>
            <w:tcW w:w="13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Terminated/Forfeited during the period</w:t>
            </w:r>
          </w:p>
        </w:tc>
        <w:tc>
          <w:tcPr>
            <w:tcW w:w="9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FFFFFF" w:val="clear"/>
            <w:tcMar>
              <w:bottom w:w="28" w:type="dxa"/>
            </w:tcMar>
            <w:vAlign w:val="center"/>
          </w:tcPr>
          <w:p>
            <w:pPr>
              <w:pStyle w:val="TableContents"/>
              <w:bidi w:val="0"/>
              <w:spacing w:before="0" w:after="283"/>
              <w:jc w:val="right"/>
              <w:rPr/>
            </w:pPr>
            <w:r>
              <w:rPr/>
              <w:t>(2,000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4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6.06</w:t>
            </w:r>
          </w:p>
        </w:tc>
        <w:tc>
          <w:tcPr>
            <w:tcW w:w="13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Unvested Units at December 31, 2025</w:t>
            </w:r>
          </w:p>
        </w:tc>
        <w:tc>
          <w:tcPr>
            <w:tcW w:w="90"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double" w:sz="10" w:space="0" w:color="000000"/>
            </w:tcBorders>
            <w:shd w:fill="CCEEFF" w:val="clear"/>
            <w:tcMar>
              <w:bottom w:w="28" w:type="dxa"/>
            </w:tcMar>
            <w:vAlign w:val="center"/>
          </w:tcPr>
          <w:p>
            <w:pPr>
              <w:pStyle w:val="TableContents"/>
              <w:bidi w:val="0"/>
              <w:spacing w:before="0" w:after="283"/>
              <w:jc w:val="right"/>
              <w:rPr/>
            </w:pPr>
            <w:r>
              <w:rPr/>
              <w:t>188,418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6.06</w:t>
            </w:r>
          </w:p>
        </w:tc>
        <w:tc>
          <w:tcPr>
            <w:tcW w:w="13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Vested Units at December 31, 2025</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2026, the Company granted 243,172 RSUs to certain employees and directors with a grant date fair value of approximately $800,000. These RSUs vested immediately upon being awarded.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stock-based compensation expense of $865,000 and $480,000 in its consolidated statements of operations for the years ended December 31, 2025 and 2024, respectively, and such amounts were included as a component of operating expenses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RSUs vested during the year ended December 31, 2025 was $318,000. All of the RSUs vested were net settled such that the Company withheld shares with a value equivalent to the employees’ obligation for the applicable income and other employment taxes, and remitted cash to the appropriate taxing authorities. The total shares withheld were 38,018 and were valued on their vesting date as determined by the Company’s closing stock price. Total payments to taxing authorities for tax obligations were $127,000.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was $373,000 of unrecognized compensation cost related to non-vested RSUs, which is to be recognized over the remaining weighted average vesting period of 1.25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one operating segment. The Company’s CODM is its Chief Executive Officer, who reviews financial information presented on a consolidated basis. The CODM used consolidated sales, gross margin and net income (loss) to assess financial performance and allocate resources. These financial metrics are used by the CODM to make key operating decisions, such as the need to allocate its budget to operating expenses and invest in additional equipment. The segment assets are equal to the assets presented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expenses that are regularly provided to the CODM are disclosed in the consolidated statements of operations as a part of the consolidated net income (loss). See the consolidated financial statements for all financial information regarding the Company’s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revenues of the Company are earned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tangible assets, as well as the Company’s operating lease right-of use assets recognized on the Consolidated Balance Sheets were located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2026, the Company filed a Current Report on Form 8-K (the “Merger 8-K”), with respect to the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the Company and Transitory Air Sub LLC</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its wholly owned subsidiary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entered into on February 16, 2026, with Tenax Aerospace Acquisition, LLC, a Delaware limited liability company (“</w:t>
      </w:r>
      <w:r>
        <w:rPr>
          <w:rFonts w:ascii="Times New Roman;Times;Serif" w:hAnsi="Times New Roman;Times;Serif"/>
          <w:b w:val="false"/>
          <w:i w:val="false"/>
          <w:caps w:val="false"/>
          <w:smallCaps w:val="false"/>
          <w:sz w:val="20"/>
          <w:u w:val="single"/>
        </w:rPr>
        <w:t>Tenax</w:t>
      </w:r>
      <w:r>
        <w:rPr>
          <w:rFonts w:ascii="Times New Roman;Times;Serif" w:hAnsi="Times New Roman;Times;Serif"/>
          <w:b w:val="false"/>
          <w:i w:val="false"/>
          <w:caps w:val="false"/>
          <w:smallCaps w:val="false"/>
          <w:sz w:val="20"/>
        </w:rPr>
        <w:t>”). Upon consummation of the Merger Agreement Tenax, will become a wholly owned Subsidiary of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the Company will issue shares of its common stock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to the holders of the membership interests of Tenax at the Closing (the “</w:t>
      </w:r>
      <w:r>
        <w:rPr>
          <w:rFonts w:ascii="Times New Roman;Times;Serif" w:hAnsi="Times New Roman;Times;Serif"/>
          <w:b w:val="false"/>
          <w:i w:val="false"/>
          <w:caps w:val="false"/>
          <w:smallCaps w:val="false"/>
          <w:sz w:val="20"/>
          <w:u w:val="single"/>
        </w:rPr>
        <w:t>Tenax Members</w:t>
      </w:r>
      <w:r>
        <w:rPr>
          <w:rFonts w:ascii="Times New Roman;Times;Serif" w:hAnsi="Times New Roman;Times;Serif"/>
          <w:b w:val="false"/>
          <w:i w:val="false"/>
          <w:caps w:val="false"/>
          <w:smallCaps w:val="false"/>
          <w:sz w:val="20"/>
        </w:rPr>
        <w:t>”). A portion of the Merger Consideration allocated in respect of membership interests of Tenax underlying certain Tenax warrants that remain unexercised as of the Closing, if any, will be reserved by the Company for future issuance upon the exercise of such warrants. The number of shares of the Company’s common stock to be issued to the Tenax Members will be adjusted based on a calculation of AIR Net Indebtedness (as defined in the Merger Agreement). Based on the amount of AIR Net Indebtedness as of December 31, 2025, the calculation would result in the issuance of approximately 112.5 million shares of the Company’s Common Stock. Consequently, based upon the calculation of the Merger Consideration as of December 31, 2025, following the closing of the Merger, the Tenax Members will collectively own approximately 95% of the outstanding shares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contemplated by the Merger Agreement (the “Merger”) is subject to risks and uncertainties and certain specified conditions, including, among other things: (a) the expiration or termination of the applicable waiting period under the Hart-Scott-Rodino Act, (b) the listing of the Merger Consideration on the NYSE American, and (c) other customary conditions for a transaction such as the Merger, such as the absence of any legal restraint prohibiting the consummation of the Merger and there not having occurred with respect to the Company or Tenax’s business a material adverse event, subject to certain customary exceptions.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Tenax is a leading provider of special mission aviation solutions that combine aircraft sourcing, financing and modification with aviation services including pilots, maintenance and other types of program support. Additionally, Tenax has a long-standing relationship with key government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37" w:name="ea028229801ex10-15.htm"/>
      <w:bookmarkStart w:id="38" w:name="ksea028229801ex1015"/>
      <w:bookmarkEnd w:id="37"/>
      <w:bookmarkEnd w:id="38"/>
      <w:r>
        <w:rPr>
          <w:b/>
        </w:rPr>
        <w:t>Exhibit 10.15</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Industries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INDEMNIFICATION AGREEMENT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Agreemen</w:t>
      </w:r>
      <w:r>
        <w:rPr>
          <w:rFonts w:ascii="Times New Roman;Times;Serif" w:hAnsi="Times New Roman;Times;Serif"/>
          <w:b w:val="false"/>
          <w:i w:val="false"/>
          <w:caps w:val="false"/>
          <w:smallCaps w:val="false"/>
          <w:sz w:val="20"/>
        </w:rPr>
        <w:t xml:space="preserve">t”), dated and made effective as of ___________, 2026, is entered into by and between </w:t>
      </w:r>
      <w:r>
        <w:rPr>
          <w:rFonts w:ascii="Times New Roman;Times;Serif" w:hAnsi="Times New Roman;Times;Serif"/>
          <w:b/>
          <w:i w:val="false"/>
          <w:caps w:val="false"/>
          <w:smallCaps w:val="false"/>
          <w:sz w:val="20"/>
        </w:rPr>
        <w:t>AIR INDUSTRIES GROUP</w:t>
      </w:r>
      <w:r>
        <w:rPr>
          <w:rFonts w:ascii="Times New Roman;Times;Serif" w:hAnsi="Times New Roman;Times;Serif"/>
          <w:b w:val="false"/>
          <w:i w:val="false"/>
          <w:caps w:val="false"/>
          <w:smallCaps w:val="false"/>
          <w:sz w:val="20"/>
        </w:rPr>
        <w:t>, a corporation organized and existing under the laws of the State of Nevada, having offices at 1460 Fifth Avenue, Bay Shore, New York 11706 (“</w:t>
      </w:r>
      <w:r>
        <w:rPr>
          <w:rFonts w:ascii="Times New Roman;Times;Serif" w:hAnsi="Times New Roman;Times;Serif"/>
          <w:b w:val="false"/>
          <w:i w:val="false"/>
          <w:caps w:val="false"/>
          <w:smallCaps w:val="false"/>
          <w:sz w:val="20"/>
          <w:u w:val="single"/>
        </w:rPr>
        <w:t>AIR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_______________</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each party hereto sometimes referred to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or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 I T N E S S E T 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has concluded that AIR’s officers and directors, and certain of its employees and agents, should be provided with reasonable and appropriate protection against certain risks in order to insure that capable persons will be attracted to such positions; and, therefore, has determined to contractually obligate itself to indemnify its officers and directors and certain of its employees and agents, in connection with claims asserted against such persons as a result of their services in respect of AIR, as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applicable law empowers corporations to indemnify a person who serves as a director or officer of a corporation or a person who serves at the request of the corporation as a director, officer, employee or agent of another corporation, partnership, joint venture, trust, or other enterprise, or as a manager of a limited liability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believe it appropriate to memorialize and reaffirm AIR’s indemnification obligations to Indemnitee and, in addition, to set forth the agreements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agreements, covenants, and promises contained herein and for other good and valuable consideration,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In addition to any term that may be defined in the text of this Agreement, the following terms shall be defined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reference to Company, any other Person controlling, controlled by or under the common control of Company. For purposes hereof, the term “control” (or any equivalent term) means having ownership of more than fifty percent (50%) of the voting securities of a Person or the power, whether through voting power or otherwise, to control the management policies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Articles</w:t>
      </w:r>
      <w:r>
        <w:rPr>
          <w:rFonts w:ascii="Times New Roman;Times;Serif" w:hAnsi="Times New Roman;Times;Serif"/>
          <w:b w:val="false"/>
          <w:i w:val="false"/>
          <w:caps w:val="false"/>
          <w:smallCaps w:val="false"/>
          <w:sz w:val="20"/>
        </w:rPr>
        <w:t>” means the articles of incorporation of AIR,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AIR.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means the bylaws of AIR,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means any threatened, pending or completed action, suit, proceeding or alternative dispute resolution proceeding, or any hearing, inquiry or investigation, including any informal inquiry, interview, or pre-litigation demand or threat, that Indemnitee in good faith believes might lead to the institution of any such action, suit, proceeding or alternative dispute resolution proceeding, whether civil, criminal, administrative, investigative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(a) AIR and (b) any constituent corporation absorbed in a consolidation or merger to which AIR (or any of its wholly owned subsidiaries) has been or becomes a party that, if its separate existence had continued, would have had power and authority to indemnify its officers, directors, employees, agents or fiduciaries in a manner substantially similar to the indemnification provided to Indemnitee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means any and all direct and indirect costs and expenses, judgments, fines, penalties, sanctions and amounts paid in settlement (if such settlement is approved in advance by Company) of any Claim regarding or arising from an Indemnity Event. For purposes hereof, the term “Expenses” includes attorneys’ fees and all other costs, expenses and obligations incurred by Indemnitee in connection with investigating, defending, appearing as a witness in or otherwise preparing for and/or participating in (including any appeal) any action, suit, proceeding, alternative dispute proceeding, hearing, inquiry or investigation involving any Claim regarding or arising from an Indemnity Event, including reasonable compensation for time spent by Indemnitee in preparing for and appearing as a witness in any such action, suit, proceeding, hearing, inquiry or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Indemnity Event</w:t>
      </w:r>
      <w:r>
        <w:rPr>
          <w:rFonts w:ascii="Times New Roman;Times;Serif" w:hAnsi="Times New Roman;Times;Serif"/>
          <w:b w:val="false"/>
          <w:i w:val="false"/>
          <w:caps w:val="false"/>
          <w:smallCaps w:val="false"/>
          <w:sz w:val="20"/>
        </w:rPr>
        <w:t>” means any event or occurrence arising from or relating to (a) Indemnitee’s position or status as a past or current officer, director, manager (of a limited liability company), employee, agent or fiduciary of Company or any of its Affiliates, or any predecessor thereof, respectively, or in serving (or having served) at the request of Company (or any predecessor thereof) as an officer, director, manager (of a limited liability company), employee, agent or fiduciary of another corporation, partnership, limited liability company, joint venture, trust or other enterprise, or (b) any act, action or inaction by or on the part of Indemnitee while serving in any such capacity or capacities.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NRS</w:t>
      </w:r>
      <w:r>
        <w:rPr>
          <w:rFonts w:ascii="Times New Roman;Times;Serif" w:hAnsi="Times New Roman;Times;Serif"/>
          <w:b w:val="false"/>
          <w:i w:val="false"/>
          <w:caps w:val="false"/>
          <w:smallCaps w:val="false"/>
          <w:sz w:val="20"/>
        </w:rPr>
        <w:t>” means the Nevada Revised Statutes,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company, partnership (including both general and limited partnerships), limited liability company, sole proprietorship, association, joint stock company, firm, trust, trustee, joint venture, unincorporated organization, executor, administrator, legal representative or other legal entity, including any governmental authority, entity or instrumentality.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 “Securities Act” means the (U.S.) Securities Act of 1933, as amended.</w:t>
      </w:r>
    </w:p>
    <w:p>
      <w:pPr>
        <w:pStyle w:val="TextBody"/>
        <w:bidi w:val="0"/>
        <w:spacing w:before="0" w:after="0"/>
        <w:ind w:left="86" w:right="0" w:firstLine="80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Interpretation; Protocols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name assigned to this Agreement and the Section (or subsection) headings or captions used herein are for convenience of reference only and shall not be construed to affect the meaning, construction or effect hereof. Terms defined in the singular shall have a comparable meaning when used in the plural and vice versa. Unless otherwise specified, the terms “hereof,” “herein” and similar terms refer to this Agreement as a whole, and references herein to Sections refer to Sections of this Agreement. Pronouns in masculine, feminine, and neutral genders will be construed to include any other gender, and words in the singular form will be construed to include the plural and vice versa,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Page 2 of 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For purposes of this Agreement, the words, “include,” “includes” and “including,” when used herein, shall be deemed in each case to be followed by the words “without limitation”. The word “or” is not exclusive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it means “and/or”).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References in this Agreement to “other enterprise” include employee benefit plans and the term “fines” includes any administrative penalties or any excise taxes that may be assessed or imposed on Indemnitee under or with respect to any employee benefit plan or pursuant to or as a result of any benefits paid to or conferred upon Indemnitee by Company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Unless stated otherwise, references to money herein shall mean and refer to the currency (U.S. Dollars)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Indemnification; Non-Exclusivity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It is intended by Company and Indemnitee that the indemnification of Indemnitee as provided in this Agreement shall be to the fullest extent allowed by the NRS. Accordingly, the indemnification provided to Indemnitee under this Agreement shall not be limited by, and shall be in addition to, any indemnification provided to or conferred upon Indemnitee under the Articles or Bylaws or that may be otherwise provided under the NRS or other applicable law, in each case as they exist on and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In the event of any change in any applicable law, statute or regulation after the date of this Agreement, including subsequent judicial interpretation of any existing applicable law, statue or regulation, that expands or enlarges the right of a Nevada corporation to indemnify its officers, directors, managers (of a limited liability company) employees, agents and/or fiduciaries, the Parties intend that Indemnitee shall be entitled to such expanded or enlarged indemnity benefits as may be accorded by any such change in applicable law, statute or regulation. In the event that any change in any applicable law, statute or regulation after the date of this Agreement narrows or reduces the scope or benefits of any indemnity currently afforded Indemnitee under this Agreement or under the Articles or Bylaws, or under or by virtue of existing applicable laws, statutes and regulations, any such changes shall not narrow or reduce, or be applied to narrow or reduce, the scope and benefits of indemnification provided to Indemnitee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Indemnification;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Company shall indemnify Indemnitee if Indemnitee is a party to or is threatened to be made a party to or is otherwise involved in any Claim (other than a Claim by or in the right of Company), asserted or brought by reason of an Indemnity Event, against all Expenses incurred by Indemnitee in connection to such Claim, if Indemnitee either (a) is not liable pursuant to NRS 78.138, or (b) acted in good faith and in a manner he/she reasonably believed to be in or not opposed to the best interest of Company and, in the case of a criminal claim or proceeding, had no reasonable cause to believe that his/her conduct was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The termination or resolution of any Claim by judgment, judicial order, settlement, conviction or upon a plea of nolo contendere, or its equivalent, does not, of itself, create a presumption that Indemnitee is liable under or pursuant to NRS 78.138 or did not act in good faith or in a manner which he/she reasonably believed to be in or not opposed to the best interest of Company or, with respect to any criminal claim or proceeding, that Indemnitee had reasonable cause to believe that his/her conduct was unlawful. Any payment of Expenses under this Section 4 shall be made by Company within thirty (30) days after written demand by Indemnitee for such payment is delivered or submitted to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Page 3 of 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Indemnification; Derivative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Company shall indemnify Indemnitee if Indemnitee is a party to or is threatened to be made a party to or is otherwise involved in any Claim by or in the name of the Company to procure a judgment in its favor, by reason of an Indemnity Event, against all Expenses incurred by Indemnitee in connection with such Claim, if Indemnitee either (a) is not liable pursuant to NRS 78.138, or (b) acted in good faith and in a manner he/she reasonably believed to be in or not opposed to the best interest of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Notwithstanding the provisions of Section 5.1, no indemnification thereunder shall be provided to Indemnitee for any Claim, issue or matter to which Indemnitee has been adjudged by a court of competent jurisdiction, after the exhaustion of all appeals therefrom, to be liable to Company or for amounts paid in settlement to Company, unless and to the extent that any court in which such Claim is brought or other court of competent jurisdiction determines upon application that, in view of all the circumstances of the case, Indemnitee is fairly and reasonably entitled to indemnity for such Expenses as the court deems proper. Any payment of Expenses under this Section 5 shall be made by Company, if Indemnitee is determined to be entitled to such Expenses, within thirty (30) days after written demand by Indemnitee for such payment is delivered or submitted to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Mandatory Payment/Reimbursement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contained in this Agreement (other than as provided in Sections 10 and 11), if and to the extent that Indemnitee is successful on the merits or otherwise in defending any Claim regarding or arising from an Indemnity Event (including any favorable judgment or dismissal with or without prejudice), Indemnitee shall be indemnified, and shall be paid for all Expenses incurred by Indemnitee (other than Expenses previously advanced or paid to Indemnitee by Company), in connection with any such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Indemnification; Payment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caps w:val="false"/>
          <w:smallCaps w:val="false"/>
          <w:sz w:val="20"/>
          <w:u w:val="single"/>
        </w:rPr>
        <w:t>Expense Advances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permitted by applicable law, Company shall advance to Indemnitee the Expenses incurred by Indemnitee in connection with any Claim regarding or arising from an Indemnity Event (each, an “</w:t>
      </w:r>
      <w:r>
        <w:rPr>
          <w:rFonts w:ascii="Times New Roman;Times;Serif" w:hAnsi="Times New Roman;Times;Serif"/>
          <w:b w:val="false"/>
          <w:i w:val="false"/>
          <w:caps w:val="false"/>
          <w:smallCaps w:val="false"/>
          <w:sz w:val="20"/>
          <w:u w:val="single"/>
        </w:rPr>
        <w:t>Expense Advance</w:t>
      </w:r>
      <w:r>
        <w:rPr>
          <w:rFonts w:ascii="Times New Roman;Times;Serif" w:hAnsi="Times New Roman;Times;Serif"/>
          <w:b w:val="false"/>
          <w:i w:val="false"/>
          <w:caps w:val="false"/>
          <w:smallCaps w:val="false"/>
          <w:sz w:val="20"/>
        </w:rPr>
        <w:t>”), with each such Expense Advance being made by Company within five (5) business days after Company receives a statement, invoice or written demand from Indemnitee (with any required or supporting documentation) requesting such advance of Expenses, provided and on the condition that Indemnitee (i) has provided to Company an undertaking to repay all such Expense Advances to Company if and to the extent that it is determined, by a court of competent jurisdiction in a final non-appealable judgment or order, that Indemnitee is not entitled to be indemnified by Company, and (ii) such undertaking remains in effect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Page 4 of 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requesting any Expense Advance from Company, Indemnitee may, in the event that any supporting documentation refers to legal services rendered or anticipated in a manner that could, or to the extent that it could, result in a waiver of the attorney/client privilege or other privilege accorded Indemnitee under applicable law, deliver or submit to Company only copies of invoices without supporting documentation.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Expense Advances requested by Indemnitee shall be unsecured and interest-free and shall be made to Indemnitee without regard to Indemnitee’s ability to repay such Expense Advances to Company (other than in providing Company with an undertaking by execution of this Agreement as provided in Section 7.2 in the event that it is determined that Indemnitee is not entitled to indemnification with respect to such Expenses). The right of Indemnitee to request and obtain Expense Advances hereunder shall continue until the final disposition (including any appeal) of each Claim for which Expense Advances may be requested from time to time by Indemnitee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Indemnitee’s right to Expense Advances under this Section 7.1 shall not apply to any request or claim by Indemnitee for or with respect to which indemnification is excluded or precluded under Sections 10 or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avoidance of doubt, Indemnitee shall not be required to advance any funds, pay any amounts personally, or otherwise assume any Expenses in connection with any Claim prior to receiving advancement from Company. Company shall advance amounts as necessary, including retainers and other prepaid costs, upon submission of a written request and documentation supporting the nature of such anticipated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caps w:val="false"/>
          <w:smallCaps w:val="false"/>
          <w:sz w:val="20"/>
          <w:u w:val="single"/>
        </w:rPr>
        <w:t>Expense Advance Undertaking</w:t>
      </w:r>
      <w:r>
        <w:rPr>
          <w:rFonts w:ascii="Times New Roman;Times;Serif" w:hAnsi="Times New Roman;Times;Serif"/>
          <w:b w:val="false"/>
          <w:i w:val="false"/>
          <w:caps w:val="false"/>
          <w:smallCaps w:val="false"/>
          <w:sz w:val="20"/>
        </w:rPr>
        <w:t>. Company and Indemnitee each acknowledge and agree that Indemnitee’s execution and delivery of this Agreement to Company shall constitute an undertaking by Indemnitee, to the fullest extent required by applicable law, to repay to Company all Expense Advances if and to the extent that it is determined, by a court of competent jurisdiction in a final non-appealable judgment or order, that Indemnitee is not entitled to be indemnified by Company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Notice of Claims; Duty to Cooperate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Indemnitee agrees to provide Company with a written notice, as soon as possible or practicable, of any Claim threatened, asserted or made against Indemnitee and for or as to which indemnification is or may be sought by Indemnitee under this Agreement or otherwise. Each such notice by Indemnitee shall be directed to the Board of Directors or to the Company’s chief executive officer or secretary at the address for Company listed or displayed in the introductory paragraph of this Agreement (or such other address as Company may designate in writing to Indemnitee from time to time). Any failure of Indemnitee to give written notice of any such Claim as provided hereinabove shall not relieve Company of its obligation to indemnify Indemnitee unless and to the extent that Company demonstrates that such failure on the part of Indemnitee has resulted or will result in irreparable economic harm to Company that could have been avoided if Indemnitee had provided timely notice to Company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Page 5 of 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With respect to any Claim for or as to which Company may be required to indemnify Indemnitee (or as to which Company has assumed the defense of Indemnitee as provided hereinafter), Indemnitee shall reasonably cooperate with Company in the defense of any such Claim and will provide to Company such information and documents as Company may reasonably require to the extent that Indemnitee is in possession of or has the power to access and obtain such information and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Selection of Counsel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In the event that Company is obligated to indemnify Indemnitee for the Expenses incurred by Indemnitee in connection with any Claim, Company shall be entitled, at its election and upon giving written notice to Indemnitee, to assume the defense of such Claim with counsel selected by Company and approved by Indemnitee (with such approval not unreasonably withheld or delayed by Indemnitee).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Upon Company’s election to assume the defense of any Claim as provided herein (and provided that counsel has been retained by Company in connection therewith), Company shall have no further obligation to pay Indemnitee for attorneys’ fees incurred by Indemnitee with respect to such Claim. Notwithstanding Company’s assumption of the defense of any such Claim, Indemnitee shall have the right to employ separate counsel with respect to such Claim at Indemnitee’s expense. In addition thereto, Company shall dispense with the counsel it has retained (with Indemnitee’s consent) and shall pay the fees and charges of Indemnitee’s separate counsel if (a) Company agrees to do so in writing, or (b) an actual or prospective conflict of interest exists between Company and Indemnitee in conducting the defense of any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Exclusions from Indemnity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Notwithstanding anything to the contrary in this Agreement, Company shall not be required or obligated to indemnify Indemnitee or pay the Expenses of Indemnitee in or with respect to any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Claims (and the Expenses incurred in connection therewith) that are initiated or asserted by Indemnitee and not by way of defense of any Claim, except for claims, actions, suits or proceedings initiated by Indemnitee (1) to enforce his/her indemnification rights under (A) this Agreement, including but not limited to any action to challenge a denial of indemnification or advancement of Expenses, (B) any other agreement or insurance policy, or (C) under the Articles or Bylaws or (2) with the prior authorization or approval of the Board of Directors, or (3) as otherwise may be required under the NRS to establish Indemnitee’s right to indemnity or payment of Expenses (and regardless of its outcome or ultimate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Claims asserted or any action, suit or proceeding instituted by Indemnitee to enforce the terms of this Agreement if a court of competent jurisdiction determines that any such Claim, action, suit or proceeding was not asserted or instituted by Indemnitee in good faith or is otherwise determined to be frivolous or without any legitimate basis in fact or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acts, omissions, activities or other transactions conducted by Indemnitee for or as to which Indemnitee may not be indemnified or relieved of liability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Page 6 of 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Claims (and the Expenses paid in connection therewith) if it is determined in a final non-appealable judgment or order that (1) such payments were made in violation of applicable law, (2) Indemnitee must make an accounting of profits from Indemnitee’s purchase and sale of Company’s securities under or pursuant to the provisions of Section 16(b) of the Exchange Act or a similar provision under federal or state law, or (3) Indemnitee’s acts, actions or omissions involved intentional misconduct, fraud or a knowing violation of law, including any determination that Indemnitee defrauded or stole from Company, misappropriated confidential or proprietary information or the trade secrets of Company, or otherwise converted the assets or properties of Company to his/her own personal use or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Settlement of any Claim, or any amounts paid in settlement of any Claim, without Company’s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Exclusion; Potential Liability Under Securities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in this Agreement, Company shall not be required or obligated to indemnify Indemnitee under any Claim (or pay the Expenses in connection therewith) to the extent that such indemnity and payment of Expenses (a) will violate the Securities Act or the Exchange Act, or the rules and regulations thereunder, respectively, or any registration statement filed by Company under the Securities Act, or any public policy relating thereto, or (b) will require Company, to achieve compliance with the undertakings required in paragraph (h) of Item 512 of Regulation S-K, to submit to a court of competent jurisdiction any issue regarding whether Indemnitee is entitled to indemnification for liabilities arising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Directors and Officers Liability 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shall maintain directors’ and officers’ liability insurance (“D&amp;O Insurance”) covering Indemnitee on terms no less favorable than those provided to other directors and officers of Company. Upon request by Indemnitee, Company shall provide Indemnitee with a copy of the D&amp;O Insurance policy then in effect, and shall provide Indemnitee with a copy of any renewal or replacement policy promptly upon its 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Statute of Limitations; Claims in the Right of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civil action or proceeding shall be asserted, initiated or brought by Company against Indemnitee or his/her estate, spouse, heirs, executors or personal or legal representatives after the expiration of two (2) years from the date on which any Claim (or any claim or cause of action asserted therein) arose or accrued under applicable law, and any such claim or cause of action shall be time-barred, extinguished and deemed released unless asserted by the timely filing of a civil action or proceeding within such two-year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in the event that any shorter statute or period of limitations is or becomes applicable to any such claim or cause of action under applicable law, the shorter statute or period of limitations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Governing Law; Consent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including the validity, substance, interpretation and enforcement thereof, shall be governed in all respects by the laws of the State of Nevada without regard to its conflicts of laws or choice of laws principles. The parties hereby irrevocably consent to the exclusive jurisdiction of the Eighth Judicial District Court of the State of Nevada in Clark County, Nevada (and, if jurisdiction shall be vested exclusively in the federal courts, the United States District Court for the District of Nevada), for purposes of any suit, action or proceeding arising out of or relating to this Agreement and irrevocably waive, to the fullest extent permitted by law, any objection to the laying of venue in such courts and any claim that any such suit, action or proceeding has been brought in an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Page 7 of 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1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demands and other communications under this Agreement shall be in writing and shall be deemed duly given (a) if delivered by hand or by private courier and signed for by the receiving Party, on the date of such delivery, (b) if sent by facsimile with written evidence of successful transmission, on the date of such transmission, or (c) if mailed by domestic certified or registered mail with postage prepaid, on the third business day after the date postmarked. The address for notices to the Company is as displayed in the introductory paragraph of this Agreement or as subsequently modified by written notice by the Company to the Indemnitee. The address for notices to the Indemnitee is as set forth in the records of the Company or as subsequently modified by written notice by the Indemnitee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 </w:t>
      </w:r>
      <w:r>
        <w:rPr>
          <w:rFonts w:ascii="Times New Roman;Times;Serif" w:hAnsi="Times New Roman;Times;Serif"/>
          <w:b w:val="false"/>
          <w:i/>
          <w:caps w:val="false"/>
          <w:smallCaps w:val="false"/>
          <w:sz w:val="20"/>
          <w:u w:val="single"/>
        </w:rPr>
        <w:t>Amendment, Waiver &amp; Termination</w:t>
      </w:r>
      <w:r>
        <w:rPr>
          <w:rFonts w:ascii="Times New Roman;Times;Serif" w:hAnsi="Times New Roman;Times;Serif"/>
          <w:b w:val="false"/>
          <w:i w:val="false"/>
          <w:caps w:val="false"/>
          <w:smallCaps w:val="false"/>
          <w:sz w:val="20"/>
        </w:rPr>
        <w:t>. No amendment, modification, supplement, termination or cancellation of this Agreement shall be effective unless it is in writing and signed by each Party. No waiver of any of the provisions of this Agreement shall be deemed to be or shall constitute a waiver of any other provisions hereof (whether or not similar), nor shall such waiver constitute a continuing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16.2 </w:t>
      </w:r>
      <w:r>
        <w:rPr>
          <w:rFonts w:ascii="Times New Roman;Times;Serif" w:hAnsi="Times New Roman;Times;Serif"/>
          <w:b w:val="false"/>
          <w:i/>
          <w:caps w:val="false"/>
          <w:smallCaps w:val="false"/>
          <w:sz w:val="20"/>
          <w:u w:val="single"/>
        </w:rPr>
        <w:t>Integration; Entirety</w:t>
      </w:r>
      <w:r>
        <w:rPr>
          <w:rFonts w:ascii="Times New Roman;Times;Serif" w:hAnsi="Times New Roman;Times;Serif"/>
          <w:b w:val="false"/>
          <w:i w:val="false"/>
          <w:caps w:val="false"/>
          <w:smallCaps w:val="false"/>
          <w:sz w:val="20"/>
        </w:rPr>
        <w:t>. This Agreement sets forth the entire understanding between the Parties and supersedes and merges all previous written and oral negotiations, commitments, understandings and agreements relating to the subject matter hereof between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16.3 </w:t>
      </w:r>
      <w:r>
        <w:rPr>
          <w:rFonts w:ascii="Times New Roman;Times;Serif" w:hAnsi="Times New Roman;Times;Serif"/>
          <w:b w:val="false"/>
          <w:i/>
          <w:caps w:val="false"/>
          <w:smallCaps w:val="false"/>
          <w:sz w:val="20"/>
          <w:u w:val="single"/>
        </w:rPr>
        <w:t>Disclaimer of Employment Agreement</w:t>
      </w:r>
      <w:r>
        <w:rPr>
          <w:rFonts w:ascii="Times New Roman;Times;Serif" w:hAnsi="Times New Roman;Times;Serif"/>
          <w:b w:val="false"/>
          <w:i w:val="false"/>
          <w:caps w:val="false"/>
          <w:smallCaps w:val="false"/>
          <w:sz w:val="20"/>
        </w:rPr>
        <w:t>. Nothing contained in this Agreement shall be construed as giving Indemnitee any right to be retained in the employ of Company or any of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16.4 </w:t>
      </w:r>
      <w:r>
        <w:rPr>
          <w:rFonts w:ascii="Times New Roman;Times;Serif" w:hAnsi="Times New Roman;Times;Serif"/>
          <w:b w:val="false"/>
          <w:i/>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contained in this Agreement (including any provision within a single section, paragraph or sentence) is held by a court of competent jurisdiction to be invalid, void or otherwise unenforceable, the remaining provisions shall remain enforceable to the fullest extent permitted by law. In connection therewith, and to the fullest extent possible, the provisions of this Agreement (including each portion of this Agreement containing any provision held to be invalid, void or otherwise unenforceable that is not itself invalid, void or unenforceable) shall be construed so as to give effect to the intent manifested by the Parties in the provision held invalid, illegal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16.5 </w:t>
      </w:r>
      <w:r>
        <w:rPr>
          <w:rFonts w:ascii="Times New Roman;Times;Serif" w:hAnsi="Times New Roman;Times;Serif"/>
          <w:b w:val="false"/>
          <w:i/>
          <w:caps w:val="false"/>
          <w:smallCaps w:val="false"/>
          <w:sz w:val="20"/>
          <w:u w:val="single"/>
        </w:rPr>
        <w:t>Subrogation</w:t>
      </w:r>
      <w:r>
        <w:rPr>
          <w:rFonts w:ascii="Times New Roman;Times;Serif" w:hAnsi="Times New Roman;Times;Serif"/>
          <w:b w:val="false"/>
          <w:i w:val="false"/>
          <w:caps w:val="false"/>
          <w:smallCaps w:val="false"/>
          <w:sz w:val="20"/>
        </w:rPr>
        <w:t>. In the event of any payment by Company under this Agreement, Company shall be subrogated, to the extent of such payment, to all of the rights of recovery of Indemnitee, who shall execute all documents required and shall do all acts as may be necessary to secure such rights and to enable Company to assert all claims and to initiate all such civil actions, suits and proceedings that may be required or necessary to enforce such rights and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Page 8 of 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16.6 </w:t>
      </w:r>
      <w:r>
        <w:rPr>
          <w:rFonts w:ascii="Times New Roman;Times;Serif" w:hAnsi="Times New Roman;Times;Serif"/>
          <w:b w:val="false"/>
          <w:i/>
          <w:caps w:val="false"/>
          <w:smallCaps w:val="false"/>
          <w:sz w:val="20"/>
          <w:u w:val="single"/>
        </w:rPr>
        <w:t>Binding Effect</w:t>
      </w:r>
      <w:r>
        <w:rPr>
          <w:rFonts w:ascii="Times New Roman;Times;Serif" w:hAnsi="Times New Roman;Times;Serif"/>
          <w:b w:val="false"/>
          <w:i w:val="false"/>
          <w:caps w:val="false"/>
          <w:smallCaps w:val="false"/>
          <w:sz w:val="20"/>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Indemnity Event even though he/she may have ceased to serve in such capacity at the time of any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16.7 </w:t>
      </w:r>
      <w:r>
        <w:rPr>
          <w:rFonts w:ascii="Times New Roman;Times;Serif" w:hAnsi="Times New Roman;Times;Serif"/>
          <w:b w:val="false"/>
          <w:i/>
          <w:caps w:val="false"/>
          <w:smallCaps w:val="false"/>
          <w:sz w:val="20"/>
          <w:u w:val="single"/>
        </w:rPr>
        <w:t>Contribution</w:t>
      </w:r>
      <w:r>
        <w:rPr>
          <w:rFonts w:ascii="Times New Roman;Times;Serif" w:hAnsi="Times New Roman;Times;Serif"/>
          <w:b w:val="false"/>
          <w:i w:val="false"/>
          <w:caps w:val="false"/>
          <w:smallCaps w:val="false"/>
          <w:sz w:val="20"/>
        </w:rPr>
        <w:t>. Whether or not the indemnification provided for in this Agreement is available, in respect of any threatened, pending or completed action, suit or proceeding in which the Company is jointly liable with Indemnitee (or would be if joined in such action, suit or proceeding), the Company may elect to pay, in the first instance, the entire amount of any judgment or settlement of such action, suit or proceeding without requiring Indemnitee to contribute to such payment and such an election shall waive and relinquish any right of contribution the Company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16.8 </w:t>
      </w:r>
      <w:r>
        <w:rPr>
          <w:rFonts w:ascii="Times New Roman;Times;Serif" w:hAnsi="Times New Roman;Times;Serif"/>
          <w:b w:val="false"/>
          <w:i/>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including facsimile or digital counterparts, each of which shall constitute an original and all of which taken together shall constitute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OF PARTIES ON FOLLOWING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Page 9 of 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written above.</w:t>
      </w:r>
    </w:p>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710"/>
        <w:gridCol w:w="2225"/>
      </w:tblGrid>
      <w:tr>
        <w:trPr/>
        <w:tc>
          <w:tcPr>
            <w:tcW w:w="75" w:type="dxa"/>
            <w:tcBorders/>
            <w:vAlign w:val="center"/>
          </w:tcPr>
          <w:p>
            <w:pPr>
              <w:pStyle w:val="TableContents"/>
              <w:bidi w:val="0"/>
              <w:spacing w:before="0" w:after="283"/>
              <w:jc w:val="both"/>
              <w:rPr/>
            </w:pPr>
            <w:r>
              <w:rPr/>
              <w:t> </w:t>
            </w:r>
          </w:p>
        </w:tc>
        <w:tc>
          <w:tcPr>
            <w:tcW w:w="2935" w:type="dxa"/>
            <w:gridSpan w:val="2"/>
            <w:tcBorders/>
            <w:vAlign w:val="center"/>
          </w:tcPr>
          <w:p>
            <w:pPr>
              <w:pStyle w:val="TableContents"/>
              <w:bidi w:val="0"/>
              <w:spacing w:before="0" w:after="283"/>
              <w:jc w:val="both"/>
              <w:rPr>
                <w:b/>
              </w:rPr>
            </w:pPr>
            <w:r>
              <w:rPr>
                <w:b/>
              </w:rPr>
              <w:t>COMPANY:</w:t>
            </w:r>
          </w:p>
        </w:tc>
      </w:tr>
      <w:tr>
        <w:trPr/>
        <w:tc>
          <w:tcPr>
            <w:tcW w:w="75" w:type="dxa"/>
            <w:tcBorders/>
            <w:vAlign w:val="center"/>
          </w:tcPr>
          <w:p>
            <w:pPr>
              <w:pStyle w:val="TableContents"/>
              <w:bidi w:val="0"/>
              <w:spacing w:before="0" w:after="283"/>
              <w:jc w:val="center"/>
              <w:rPr/>
            </w:pPr>
            <w:r>
              <w:rPr/>
              <w:t> </w:t>
            </w:r>
          </w:p>
        </w:tc>
        <w:tc>
          <w:tcPr>
            <w:tcW w:w="2935" w:type="dxa"/>
            <w:gridSpan w:val="2"/>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both"/>
              <w:rPr/>
            </w:pPr>
            <w:r>
              <w:rPr/>
              <w:t> </w:t>
            </w:r>
          </w:p>
        </w:tc>
        <w:tc>
          <w:tcPr>
            <w:tcW w:w="2935" w:type="dxa"/>
            <w:gridSpan w:val="2"/>
            <w:tcBorders/>
            <w:vAlign w:val="center"/>
          </w:tcPr>
          <w:p>
            <w:pPr>
              <w:pStyle w:val="TableContents"/>
              <w:bidi w:val="0"/>
              <w:spacing w:before="0" w:after="283"/>
              <w:jc w:val="both"/>
              <w:rPr/>
            </w:pPr>
            <w:r>
              <w:rPr/>
              <w:t>AIR INDUSTRIES GROUP</w:t>
            </w:r>
          </w:p>
        </w:tc>
      </w:tr>
      <w:tr>
        <w:trPr/>
        <w:tc>
          <w:tcPr>
            <w:tcW w:w="75" w:type="dxa"/>
            <w:tcBorders/>
            <w:vAlign w:val="center"/>
          </w:tcPr>
          <w:p>
            <w:pPr>
              <w:pStyle w:val="TableContents"/>
              <w:bidi w:val="0"/>
              <w:spacing w:before="0" w:after="283"/>
              <w:jc w:val="both"/>
              <w:rPr/>
            </w:pPr>
            <w:r>
              <w:rPr/>
              <w:t> </w:t>
            </w:r>
          </w:p>
        </w:tc>
        <w:tc>
          <w:tcPr>
            <w:tcW w:w="29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By:</w:t>
            </w:r>
          </w:p>
        </w:tc>
        <w:tc>
          <w:tcPr>
            <w:tcW w:w="222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Name: </w:t>
            </w:r>
          </w:p>
        </w:tc>
        <w:tc>
          <w:tcPr>
            <w:tcW w:w="2225" w:type="dxa"/>
            <w:tcBorders/>
            <w:vAlign w:val="center"/>
          </w:tcPr>
          <w:p>
            <w:pPr>
              <w:pStyle w:val="TableContents"/>
              <w:bidi w:val="0"/>
              <w:spacing w:before="0" w:after="283"/>
              <w:jc w:val="both"/>
              <w:rPr/>
            </w:pPr>
            <w:r>
              <w:rPr/>
              <w:t>Scott Glassman</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Title:</w:t>
            </w:r>
          </w:p>
        </w:tc>
        <w:tc>
          <w:tcPr>
            <w:tcW w:w="2225" w:type="dxa"/>
            <w:tcBorders/>
            <w:vAlign w:val="center"/>
          </w:tcPr>
          <w:p>
            <w:pPr>
              <w:pStyle w:val="TableContents"/>
              <w:bidi w:val="0"/>
              <w:spacing w:before="0" w:after="283"/>
              <w:jc w:val="both"/>
              <w:rPr/>
            </w:pPr>
            <w:r>
              <w:rPr/>
              <w:t>Chief Financial Officer</w:t>
            </w:r>
          </w:p>
        </w:tc>
      </w:tr>
      <w:tr>
        <w:trPr/>
        <w:tc>
          <w:tcPr>
            <w:tcW w:w="75" w:type="dxa"/>
            <w:tcBorders/>
            <w:vAlign w:val="center"/>
          </w:tcPr>
          <w:p>
            <w:pPr>
              <w:pStyle w:val="TableContents"/>
              <w:bidi w:val="0"/>
              <w:spacing w:before="0" w:after="283"/>
              <w:jc w:val="both"/>
              <w:rPr/>
            </w:pPr>
            <w:r>
              <w:rPr/>
              <w:t> </w:t>
            </w:r>
          </w:p>
        </w:tc>
        <w:tc>
          <w:tcPr>
            <w:tcW w:w="29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35" w:type="dxa"/>
            <w:gridSpan w:val="2"/>
            <w:tcBorders/>
            <w:vAlign w:val="center"/>
          </w:tcPr>
          <w:p>
            <w:pPr>
              <w:pStyle w:val="TableContents"/>
              <w:bidi w:val="0"/>
              <w:spacing w:before="0" w:after="283"/>
              <w:jc w:val="both"/>
              <w:rPr>
                <w:b/>
              </w:rPr>
            </w:pPr>
            <w:r>
              <w:rPr>
                <w:b/>
              </w:rPr>
              <w:t>INDEMNITEE:</w:t>
            </w:r>
          </w:p>
        </w:tc>
      </w:tr>
      <w:tr>
        <w:trPr/>
        <w:tc>
          <w:tcPr>
            <w:tcW w:w="75" w:type="dxa"/>
            <w:tcBorders/>
            <w:vAlign w:val="center"/>
          </w:tcPr>
          <w:p>
            <w:pPr>
              <w:pStyle w:val="TableContents"/>
              <w:bidi w:val="0"/>
              <w:spacing w:before="0" w:after="283"/>
              <w:jc w:val="both"/>
              <w:rPr/>
            </w:pPr>
            <w:r>
              <w:rPr/>
              <w:t> </w:t>
            </w:r>
          </w:p>
        </w:tc>
        <w:tc>
          <w:tcPr>
            <w:tcW w:w="29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35" w:type="dxa"/>
            <w:gridSpan w:val="2"/>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Name:</w:t>
            </w:r>
          </w:p>
        </w:tc>
        <w:tc>
          <w:tcPr>
            <w:tcW w:w="222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Title:</w:t>
            </w:r>
          </w:p>
        </w:tc>
        <w:tc>
          <w:tcPr>
            <w:tcW w:w="2225" w:type="dxa"/>
            <w:tcBorders>
              <w:bottom w:val="single" w:sz="12"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60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Page 10 of 10</w:t>
      </w:r>
    </w:p>
    <w:p>
      <w:pPr>
        <w:pStyle w:val="TextBody"/>
        <w:bidi w:val="0"/>
        <w:spacing w:before="0" w:after="0"/>
        <w:ind w:left="600" w:right="0" w:hanging="0"/>
        <w:jc w:val="center"/>
        <w:rPr>
          <w:caps w:val="false"/>
          <w:smallCaps w:val="false"/>
        </w:rPr>
      </w:pPr>
      <w:r>
        <w:rPr>
          <w:caps w:val="false"/>
          <w:smallCaps w:val="false"/>
        </w:rPr>
        <w:t> </w:t>
      </w:r>
    </w:p>
    <w:p>
      <w:pPr>
        <w:pStyle w:val="TextBody"/>
        <w:bidi w:val="0"/>
        <w:jc w:val="right"/>
        <w:rPr>
          <w:b/>
        </w:rPr>
      </w:pPr>
      <w:bookmarkStart w:id="39" w:name="ea028229801ex10-16.htm"/>
      <w:bookmarkStart w:id="40" w:name="ksea028229801ex1016"/>
      <w:bookmarkEnd w:id="39"/>
      <w:bookmarkEnd w:id="40"/>
      <w:r>
        <w:rPr>
          <w:b/>
        </w:rPr>
        <w:t>Exhibit 10.16</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AIR INDUSTRIES GROUP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RESTRICTED STOCK UNIT AWARD AGREEMENT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2022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GRANT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w:t>
      </w:r>
      <w:r>
        <w:rPr>
          <w:rFonts w:ascii="Times New Roman;Times;Serif" w:hAnsi="Times New Roman;Times;Serif"/>
          <w:b w:val="false"/>
          <w:i w:val="false"/>
          <w:caps w:val="false"/>
          <w:smallCaps w:val="false"/>
          <w:sz w:val="20"/>
        </w:rPr>
        <w:t xml:space="preserve"> [_______] (the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Grant Year</w:t>
      </w:r>
      <w:r>
        <w:rPr>
          <w:rFonts w:ascii="Times New Roman;Times;Serif" w:hAnsi="Times New Roman;Times;Serif"/>
          <w:b w:val="false"/>
          <w:i w:val="false"/>
          <w:caps w:val="false"/>
          <w:smallCaps w:val="false"/>
          <w:sz w:val="20"/>
        </w:rPr>
        <w:t xml:space="preserve">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of Units Subject to Award:</w:t>
      </w:r>
      <w:r>
        <w:rPr>
          <w:rFonts w:ascii="Times New Roman;Times;Serif" w:hAnsi="Times New Roman;Times;Serif"/>
          <w:b w:val="false"/>
          <w:i w:val="false"/>
          <w:caps w:val="false"/>
          <w:smallCaps w:val="false"/>
          <w:sz w:val="20"/>
        </w:rPr>
        <w:t xml:space="preserve"> [_______]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Award Date:</w:t>
      </w:r>
      <w:r>
        <w:rPr>
          <w:rFonts w:ascii="Times New Roman;Times;Serif" w:hAnsi="Times New Roman;Times;Serif"/>
          <w:b w:val="false"/>
          <w:i w:val="false"/>
          <w:caps w:val="false"/>
          <w:smallCaps w:val="false"/>
          <w:sz w:val="20"/>
        </w:rPr>
        <w:t xml:space="preserve"> [_______] (the “</w:t>
      </w:r>
      <w:r>
        <w:rPr>
          <w:rFonts w:ascii="Times New Roman;Times;Serif" w:hAnsi="Times New Roman;Times;Serif"/>
          <w:b/>
          <w:i w:val="false"/>
          <w:caps w:val="false"/>
          <w:smallCaps w:val="false"/>
          <w:sz w:val="20"/>
        </w:rPr>
        <w:t>Award Date</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Vesting Schedule:</w:t>
      </w:r>
      <w:r>
        <w:rPr>
          <w:rFonts w:ascii="Times New Roman;Times;Serif" w:hAnsi="Times New Roman;Times;Serif"/>
          <w:b w:val="false"/>
          <w:i w:val="false"/>
          <w:caps w:val="false"/>
          <w:smallCaps w:val="false"/>
          <w:sz w:val="20"/>
        </w:rPr>
        <w:t xml:space="preserve"> This restricted stock unit award (the “</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shall be fully vested as of the Award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Award is granted under and governed by the terms and conditions of Air Industries Group’s 2022 Equity Incentive Plan, as amended,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have to accept the Award. If you wish to decline your Award, you should promptly notify Air Industries Chief Financial Officer of your decision by e-mail. If you do not provide such notification by the last day of the calendar month immediately prior to the Award Date, you will be deemed to have accepted your Award on the terms and conditions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TERMS AND CONDITIONS OF RESTRICTED STOCK UNIT AWARD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General</w:t>
      </w:r>
      <w:r>
        <w:rPr>
          <w:rFonts w:ascii="Times New Roman;Times;Serif" w:hAnsi="Times New Roman;Times;Serif"/>
          <w:b w:val="false"/>
          <w:i w:val="false"/>
          <w:caps w:val="false"/>
          <w:smallCaps w:val="false"/>
          <w:sz w:val="20"/>
        </w:rPr>
        <w:t>. These Terms and Conditions of Restricted Stock Unit Award (these “</w:t>
      </w:r>
      <w:r>
        <w:rPr>
          <w:rFonts w:ascii="Times New Roman;Times;Serif" w:hAnsi="Times New Roman;Times;Serif"/>
          <w:b/>
          <w:i w:val="false"/>
          <w:caps w:val="false"/>
          <w:smallCaps w:val="false"/>
          <w:sz w:val="20"/>
        </w:rPr>
        <w:t>Terms</w:t>
      </w:r>
      <w:r>
        <w:rPr>
          <w:rFonts w:ascii="Times New Roman;Times;Serif" w:hAnsi="Times New Roman;Times;Serif"/>
          <w:b w:val="false"/>
          <w:i w:val="false"/>
          <w:caps w:val="false"/>
          <w:smallCaps w:val="false"/>
          <w:sz w:val="20"/>
        </w:rPr>
        <w:t>”) apply to the restricted stock unit award (the “</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granted by Air Industries Group,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indicated above in this Notice of Grant (the “</w:t>
      </w:r>
      <w:r>
        <w:rPr>
          <w:rFonts w:ascii="Times New Roman;Times;Serif" w:hAnsi="Times New Roman;Times;Serif"/>
          <w:b/>
          <w:i w:val="false"/>
          <w:caps w:val="false"/>
          <w:smallCaps w:val="false"/>
          <w:sz w:val="20"/>
        </w:rPr>
        <w:t>Grant Notice</w:t>
      </w:r>
      <w:r>
        <w:rPr>
          <w:rFonts w:ascii="Times New Roman;Times;Serif" w:hAnsi="Times New Roman;Times;Serif"/>
          <w:b w:val="false"/>
          <w:i w:val="false"/>
          <w:caps w:val="false"/>
          <w:smallCaps w:val="false"/>
          <w:sz w:val="20"/>
        </w:rPr>
        <w:t>”). The recipient of the Award is referred to as the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The effective date of grant of this Award is referred to as the “</w:t>
      </w:r>
      <w:r>
        <w:rPr>
          <w:rFonts w:ascii="Times New Roman;Times;Serif" w:hAnsi="Times New Roman;Times;Serif"/>
          <w:b/>
          <w:i w:val="false"/>
          <w:caps w:val="false"/>
          <w:smallCaps w:val="false"/>
          <w:sz w:val="20"/>
        </w:rPr>
        <w:t>Award Date</w:t>
      </w:r>
      <w:r>
        <w:rPr>
          <w:rFonts w:ascii="Times New Roman;Times;Serif" w:hAnsi="Times New Roman;Times;Serif"/>
          <w:b w:val="false"/>
          <w:i w:val="false"/>
          <w:caps w:val="false"/>
          <w:smallCaps w:val="false"/>
          <w:sz w:val="20"/>
        </w:rPr>
        <w:t>.” The Award was granted under and is subject to the provisions of Air Industries Group’s 2022 Equity Incentive Plan, as amended from time to time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which are incorporated herein by reference. Capitalized terms are used as defined in the Plan if not defined herein. The Award is discretionary and has been granted to the Participant in addition to, and not in lieu of, any other compensation otherwise payable or to be paid to the Participant. The Grant Notice and these Terms are collectively referred to as the “</w:t>
      </w:r>
      <w:r>
        <w:rPr>
          <w:rFonts w:ascii="Times New Roman;Times;Serif" w:hAnsi="Times New Roman;Times;Serif"/>
          <w:b/>
          <w:i w:val="false"/>
          <w:caps w:val="false"/>
          <w:smallCaps w:val="false"/>
          <w:sz w:val="20"/>
        </w:rPr>
        <w:t>Award Agreement</w:t>
      </w:r>
      <w:r>
        <w:rPr>
          <w:rFonts w:ascii="Times New Roman;Times;Serif" w:hAnsi="Times New Roman;Times;Serif"/>
          <w:b w:val="false"/>
          <w:i w:val="false"/>
          <w:caps w:val="false"/>
          <w:smallCaps w:val="false"/>
          <w:sz w:val="20"/>
        </w:rPr>
        <w:t>” applicable to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RSUs</w:t>
      </w:r>
      <w:r>
        <w:rPr>
          <w:rFonts w:ascii="Times New Roman;Times;Serif" w:hAnsi="Times New Roman;Times;Serif"/>
          <w:b w:val="false"/>
          <w:i w:val="false"/>
          <w:caps w:val="false"/>
          <w:smallCaps w:val="false"/>
          <w:sz w:val="20"/>
        </w:rPr>
        <w:t>. As used herein, the term “</w:t>
      </w:r>
      <w:r>
        <w:rPr>
          <w:rFonts w:ascii="Times New Roman;Times;Serif" w:hAnsi="Times New Roman;Times;Serif"/>
          <w:b/>
          <w:i w:val="false"/>
          <w:caps w:val="false"/>
          <w:smallCaps w:val="false"/>
          <w:sz w:val="20"/>
        </w:rPr>
        <w:t>RSU</w:t>
      </w:r>
      <w:r>
        <w:rPr>
          <w:rFonts w:ascii="Times New Roman;Times;Serif" w:hAnsi="Times New Roman;Times;Serif"/>
          <w:b w:val="false"/>
          <w:i w:val="false"/>
          <w:caps w:val="false"/>
          <w:smallCaps w:val="false"/>
          <w:sz w:val="20"/>
        </w:rPr>
        <w:t>” shall mean a non-voting unit of measurement which is deemed for bookkeeping purposes to be equivalent to one outstanding share of common stock of the Company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solely for purposes of the Plan and this Award Agreement. RSUs shall be used solely as a device for the determination of the number of Shares to be issued or payment to eventually be made to the Participant if such RSUs vest pursuant to this Award Agreement. The RSUs shall not be treated as property or as a trust fund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Vesting</w:t>
      </w:r>
      <w:r>
        <w:rPr>
          <w:rFonts w:ascii="Times New Roman;Times;Serif" w:hAnsi="Times New Roman;Times;Serif"/>
          <w:b w:val="false"/>
          <w:i w:val="false"/>
          <w:caps w:val="false"/>
          <w:smallCaps w:val="false"/>
          <w:sz w:val="20"/>
        </w:rPr>
        <w:t>. Subject to Sections 4 and 8 below, the Award shall vest and become nonforfeitable as set forth in this Grant Notice. Unless and until the Company elects to issue fractional Shares in settlement of a vested RSU, any fractional RSUs that vest on a Vesting Date shall be carried forward and vest when such combined fractional RSUs result in a full RSU and any fractional RSU that is not carried forward as a result of a termination of the Award prior to the next subsequent Vesting Date shall be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Dividend and Voting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102"/>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Limitations on Rights Associated with RSUs</w:t>
      </w:r>
      <w:r>
        <w:rPr>
          <w:rFonts w:ascii="Times New Roman;Times;Serif" w:hAnsi="Times New Roman;Times;Serif"/>
          <w:b w:val="false"/>
          <w:i w:val="false"/>
          <w:caps w:val="false"/>
          <w:smallCaps w:val="false"/>
          <w:sz w:val="20"/>
        </w:rPr>
        <w:t>. The Participant shall have no rights as a shareholder of the Company, no dividend rights (except as expressly provided in Section 5(b) with respect to Dividend Equivalent Rights) and no voting rights, with respect to the RSUs or any Shares underlying or issuable in respect of RSUs until such Shares are actually issued to and held of record by the Participant. No adjustments will be made for dividends or other rights of a holder for which the record date is prior to the date of issuance of the book entry evidencing such Shares.</w:t>
      </w:r>
    </w:p>
    <w:p>
      <w:pPr>
        <w:pStyle w:val="TextBody"/>
        <w:bidi w:val="0"/>
        <w:spacing w:before="0" w:after="0"/>
        <w:ind w:left="0" w:right="0" w:firstLine="1102"/>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Dividend Equivalent Rights Distributions</w:t>
      </w:r>
      <w:r>
        <w:rPr>
          <w:rFonts w:ascii="Times New Roman;Times;Serif" w:hAnsi="Times New Roman;Times;Serif"/>
          <w:b w:val="false"/>
          <w:i w:val="false"/>
          <w:caps w:val="false"/>
          <w:smallCaps w:val="false"/>
          <w:sz w:val="20"/>
        </w:rPr>
        <w:t>. As of any date that the Company pays an ordinary cash dividend on its Shares, the Company shall credit the Participant with a dollar amount equal to (i) the per share cash dividend paid by the Company on its Shares on such date, multiplied by (ii) the total number of RSUs (with such total number adjusted pursuant to Section 10 of the Plan) subject to the Award that are outstanding immediately prior to the record date for that dividend (a “</w:t>
      </w:r>
      <w:r>
        <w:rPr>
          <w:rFonts w:ascii="Times New Roman;Times;Serif" w:hAnsi="Times New Roman;Times;Serif"/>
          <w:b/>
          <w:i w:val="false"/>
          <w:caps w:val="false"/>
          <w:smallCaps w:val="false"/>
          <w:sz w:val="20"/>
        </w:rPr>
        <w:t>Dividend Equivalent Right</w:t>
      </w:r>
      <w:r>
        <w:rPr>
          <w:rFonts w:ascii="Times New Roman;Times;Serif" w:hAnsi="Times New Roman;Times;Serif"/>
          <w:b w:val="false"/>
          <w:i w:val="false"/>
          <w:caps w:val="false"/>
          <w:smallCaps w:val="false"/>
          <w:sz w:val="20"/>
        </w:rPr>
        <w:t>”). Any Dividend Equivalent Rights credited pursuant to the foregoing provisions of this Section 5(b) shall be subject to the same vesting, payment and other terms, conditions and restrictions as the original RSUs to which they relate, including the obligation to satisfy the Tax-Related Items; provided, however, that the amount of any vested Dividend Equivalent Rights shall be paid in cash. No crediting of Dividend Equivalent Rights shall be made pursuant to this Section 5(b) with respect to any RSUs which, immediately prior to the record date for that dividend, have either been paid pursuant to Section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Restrictions on Transfer</w:t>
      </w:r>
      <w:r>
        <w:rPr>
          <w:rFonts w:ascii="Times New Roman;Times;Serif" w:hAnsi="Times New Roman;Times;Serif"/>
          <w:b w:val="false"/>
          <w:i w:val="false"/>
          <w:caps w:val="false"/>
          <w:smallCaps w:val="false"/>
          <w:sz w:val="20"/>
        </w:rPr>
        <w:t>. Except as provided in Section 6(j) of the Plan, the Award, the Dividend Equivalent Rights and any interest therein or amount or, prior to the issuance thereof, Shares payable in respect thereof shall not be sold, assigned, transferred, pledged or otherwise disposed of, alienated or encumbered, either voluntarily or involuntarily.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Timing and Manner of Payment of RSUs</w:t>
      </w:r>
      <w:r>
        <w:rPr>
          <w:rFonts w:ascii="Times New Roman;Times;Serif" w:hAnsi="Times New Roman;Times;Serif"/>
          <w:b w:val="false"/>
          <w:i w:val="false"/>
          <w:caps w:val="false"/>
          <w:smallCaps w:val="false"/>
          <w:sz w:val="20"/>
        </w:rPr>
        <w:t>. Subject to the terms of the Plan, this Award Agreement and Code Section 409A and the Treasury Regulations promulgated thereunder, the vested RSUs shall be settled on the later of: (A) the date that is the first anniversary of the Award Date, and (B) the occurrence of a Change in Control, which for purposes of this Award Agreement, must constitute an event described in Treasury Regulation Section 1.409A-3(a)(5); provided, however, that if the event in (B) has not occurred by the date that is the eighteen- (18-) month anniversary of the Award Date, the vested RSUs shall be settled on the date that is the eighteen- (18-) month anniversary of the Award Date. The Company’s obligation to deliver Shares or otherwise make payment with respect to vested RSUs is subject to the condition precedent that the Participant or other person entitled under the Plan to receive any Shares with respect to the vested RSUs deliver to the Company any representations or other documents or assurances required pursuant to Section 9(b)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Recoupment</w:t>
      </w:r>
      <w:r>
        <w:rPr>
          <w:rFonts w:ascii="Times New Roman;Times;Serif" w:hAnsi="Times New Roman;Times;Serif"/>
          <w:b w:val="false"/>
          <w:i w:val="false"/>
          <w:caps w:val="false"/>
          <w:smallCaps w:val="false"/>
          <w:sz w:val="20"/>
        </w:rPr>
        <w:t>. Notwithstanding any other provision herein, the Award and any Shares or other amount or property that may be issued, delivered or paid in respect of the Award, as well as any consideration that may be received in respect of a sale or other disposition of any such Shares or property, shall be subject to any recoupment, “clawback” or similar provisions of applicable law or such policies as may have been adopted by the Company in accordance with the regulations of the exchange on which the Shares are listed. In addition, the Company may require the Participant to deliver or otherwise repay to the Company the Award and any Shares or other amount or property that may be issued, delivered or paid in respect of the Award, as well as any consideration that may be received in respect of a sale or other disposition of any such Shares or property, if the Company reasonably determines that one or more of the following has occurred:</w:t>
      </w:r>
    </w:p>
    <w:p>
      <w:pPr>
        <w:pStyle w:val="TextBody"/>
        <w:bidi w:val="0"/>
        <w:spacing w:before="0" w:after="0"/>
        <w:ind w:left="0" w:right="0" w:firstLine="1102"/>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during the period of the Participant’s employment or service with the Company or any of its Subsidiaries (the “</w:t>
      </w:r>
      <w:r>
        <w:rPr>
          <w:rFonts w:ascii="Times New Roman;Times;Serif" w:hAnsi="Times New Roman;Times;Serif"/>
          <w:b/>
          <w:i w:val="false"/>
          <w:caps w:val="false"/>
          <w:smallCaps w:val="false"/>
          <w:sz w:val="20"/>
        </w:rPr>
        <w:t>Employment Period</w:t>
      </w:r>
      <w:r>
        <w:rPr>
          <w:rFonts w:ascii="Times New Roman;Times;Serif" w:hAnsi="Times New Roman;Times;Serif"/>
          <w:b w:val="false"/>
          <w:i w:val="false"/>
          <w:caps w:val="false"/>
          <w:smallCaps w:val="false"/>
          <w:sz w:val="20"/>
        </w:rPr>
        <w:t>”), the Participant has committed or engaged in a breach of confidentiality, or an unauthorized disclosure or use of inside information, customer lists, trade secrets or other confidential information of the Company or any of its Subsidiaries;</w:t>
      </w:r>
    </w:p>
    <w:p>
      <w:pPr>
        <w:pStyle w:val="TextBody"/>
        <w:bidi w:val="0"/>
        <w:spacing w:before="0" w:after="0"/>
        <w:ind w:left="0" w:right="0" w:firstLine="1102"/>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during the Employment Period, the Participant has committed or engaged in an act of theft, embezzlement or fraud in respect of property of the Company, or materially breached any agreement to which the Participant is a party with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the Participant expressly and explicitly authorizes the Company to issue instructions, on the Participant’s behalf, to any brokerage firm or third-party administrator holding the Participant’s Shares and other amounts acquired under the Plan to re-convey, transfer, or otherwise return such Shares and other amounts to the Company. This Section 9 is not the Company’s exclusive remedy with respect to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Adjustments Upon Specified Events</w:t>
      </w:r>
      <w:r>
        <w:rPr>
          <w:rFonts w:ascii="Times New Roman;Times;Serif" w:hAnsi="Times New Roman;Times;Serif"/>
          <w:b w:val="false"/>
          <w:i w:val="false"/>
          <w:caps w:val="false"/>
          <w:smallCaps w:val="false"/>
          <w:sz w:val="20"/>
        </w:rPr>
        <w:t>. Upon the occurrence of certain events relating to the Company’s stock contemplated by Section 10 of the Plan (including, without limitation, an extraordinary cash dividend on such stock), the Committee shall make adjustments in accordance with such section in the number of RSUs then outstanding and the number and kind of securities that may be issued in respect of the Award. No such adjustment shall be made with respect to any ordinary cash dividend for which Dividend Equivalent Rights are credited pursuant to Section 5(b).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Responsibility for Taxes</w:t>
      </w:r>
      <w:r>
        <w:rPr>
          <w:rFonts w:ascii="Times New Roman;Times;Serif" w:hAnsi="Times New Roman;Times;Serif"/>
          <w:b w:val="false"/>
          <w:i w:val="false"/>
          <w:caps w:val="false"/>
          <w:smallCaps w:val="false"/>
          <w:sz w:val="20"/>
        </w:rPr>
        <w:t>. The Participant acknowledges that, regardless of any action the Company or the Participant’s employer (“</w:t>
      </w:r>
      <w:r>
        <w:rPr>
          <w:rFonts w:ascii="Times New Roman;Times;Serif" w:hAnsi="Times New Roman;Times;Serif"/>
          <w:b/>
          <w:i w:val="false"/>
          <w:caps w:val="false"/>
          <w:smallCaps w:val="false"/>
          <w:sz w:val="20"/>
        </w:rPr>
        <w:t>Employer</w:t>
      </w:r>
      <w:r>
        <w:rPr>
          <w:rFonts w:ascii="Times New Roman;Times;Serif" w:hAnsi="Times New Roman;Times;Serif"/>
          <w:b w:val="false"/>
          <w:i w:val="false"/>
          <w:caps w:val="false"/>
          <w:smallCaps w:val="false"/>
          <w:sz w:val="20"/>
        </w:rPr>
        <w:t>”) takes with respect to any Tax-Related Items, the ultimate liability for all Tax-Related Items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Award, including the grant of the RSUs, the vesting of the RSUs, the delivery of Shares, the subsequent sale of any Shares acquired at vesting, and the receipt of any dividends or Dividend Equivalent Rights; and (ii) do not commit to and are under no obligation to structure the terms of the grant or any aspect of the Award to reduce or eliminate the Participant’s liability for Tax-Related Items or achieve any particular tax result. Further, if the Participant is or becomes subject to tax in more than one jurisdiction, the Participant acknowledges that the Company or the Employer (or former employer, as applicable) may be required to withhold or account for Tax-Related Items in more than one jurisdiction. All Company withholding actions for Tax-Related Items shall be carried out in accordance with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relevant taxable or tax withholding event, as applicable, the Participant shall pay or make arrangements satisfactory to the Company or the Employer to satisfy all Tax-Related Items. In this regard, the Participant authorizes the Company or the Employer, or their respective agents, at their discretion and pursuant to such procedures as they may specify from time to time, to satisfy any applicable withholding obligations with regard to all Tax-Related Items by one or a combination of the following:</w:t>
      </w:r>
    </w:p>
    <w:p>
      <w:pPr>
        <w:pStyle w:val="TextBody"/>
        <w:bidi w:val="0"/>
        <w:spacing w:before="0" w:after="0"/>
        <w:ind w:left="0" w:right="0" w:firstLine="1102"/>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withholding otherwise deliverable Shares and in the case of Dividend Equivalent Rights payable in cash, cash, to be issued or paid upon vesting/settlement of the Award;</w:t>
      </w:r>
    </w:p>
    <w:p>
      <w:pPr>
        <w:pStyle w:val="TextBody"/>
        <w:bidi w:val="0"/>
        <w:spacing w:before="0" w:after="0"/>
        <w:ind w:left="0" w:right="0" w:firstLine="1102"/>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arranging for the sale of Shares otherwise deliverable to the Participant (on the Participant’s behalf and at the Participant’s direction pursuant to this authorization), including selling Shares as part of a block trade with other Participants in the Plan;</w:t>
      </w:r>
    </w:p>
    <w:p>
      <w:pPr>
        <w:pStyle w:val="TextBody"/>
        <w:bidi w:val="0"/>
        <w:spacing w:before="0" w:after="0"/>
        <w:ind w:left="0" w:right="0" w:firstLine="1102"/>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withholding from the proceeds of the sale of Shares acquired upon vesting/settlement of the Award; or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any other method of withholding determined by the Company to be permitted under the Plan and, to the extent required by Applicable Law or under the Plan, approved by the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Participant is an officer of the Company who is subject to Section 16 of the Exchange Act, then the Company must satisfy any withholding obligations arising upon the occurrence of a taxable or tax withholding event, as applicable, by withholding Shares otherwise deliverable or an amount otherwise payable upon settlement of Dividend Equivalent Rights pursuant to method (a), unless the Board or the Committee determines in its discretion to satisfy the obligation for Tax-Related Items by one or a combination of methods (a), (b) and (c)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withhold or account for Tax-Related Items by considering statutory withholding amounts or other withholding rates, including maximum rates applicable in the Participant’s jurisdiction(s). If the maximum rate is used, any over-withheld amount may be refunded to the Participant in cash by the Company or Employer (with no entitlement to the Share equivalent) or if not refunded, the Participant may seek a refund from the local tax authorities. In the event of under-withholding, the Participant may be required to pay additional Tax-Related Items directly to the applicable tax authority or to the Company or Employer. If the obligation for Tax-Related Items is satisfied by withholding a number of Shares as described herein, for tax purposes, the Participant is deemed to have been issued the full number of Shares subject to the vested RSUs, notwithstanding that a number of the Shares are held back solely for the purpose of paying the Tax-Related Items. The Company may refuse to issue or deliver to the Participant any Shares or the proceeds of the sale of Shares if the Participant fails to comply with the Participant’s obligations in connection with the Tax-Related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Electronic Delivery and Acceptance</w:t>
      </w:r>
      <w:r>
        <w:rPr>
          <w:rFonts w:ascii="Times New Roman;Times;Serif" w:hAnsi="Times New Roman;Times;Serif"/>
          <w:b w:val="false"/>
          <w:i w:val="false"/>
          <w:caps w:val="false"/>
          <w:smallCaps w:val="false"/>
          <w:sz w:val="20"/>
        </w:rPr>
        <w:t>. The Company may, in its sole discretion, deliver any documents related to the Award by electronic means or request the Participant’s consent to participate in the Plan by electronic means. The Participant hereby consents to receive all applicable documentation by electronic delivery and to participate in the Plan through an on-line or voice activated system established and maintained by the Company or a third-party vendor designated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Data Privacy</w:t>
      </w:r>
      <w:r>
        <w:rPr>
          <w:rFonts w:ascii="Times New Roman;Times;Serif" w:hAnsi="Times New Roman;Times;Serif"/>
          <w:b w:val="false"/>
          <w:i w:val="false"/>
          <w:caps w:val="false"/>
          <w:smallCaps w:val="false"/>
          <w:sz w:val="20"/>
        </w:rPr>
        <w:t>. By participating in the Plan, the Participant acknowledges and consents to the collection, use, processing and transfer of personal data as described in this Section 13. The Company, its related entities, and the Employer hold certain personal information about the Participant, including the Participant’s name, home address and telephone number, email address, date of birth, social security number or other employee identification number, salary, nationality, job title, any Shares or directorships held in the Company, details of all RSUs or any other entitlement to Shares or equivalent benefits awarded, canceled, purchased, vested, unvested or outstanding in the Participant’s favor, for the purpose of managing and administering the Plan (“</w:t>
      </w:r>
      <w:r>
        <w:rPr>
          <w:rFonts w:ascii="Times New Roman;Times;Serif" w:hAnsi="Times New Roman;Times;Serif"/>
          <w:b/>
          <w:i w:val="false"/>
          <w:caps w:val="false"/>
          <w:smallCaps w:val="false"/>
          <w:sz w:val="20"/>
        </w:rPr>
        <w:t>Data</w:t>
      </w:r>
      <w:r>
        <w:rPr>
          <w:rFonts w:ascii="Times New Roman;Times;Serif" w:hAnsi="Times New Roman;Times;Serif"/>
          <w:b w:val="false"/>
          <w:i w:val="false"/>
          <w:caps w:val="false"/>
          <w:smallCaps w:val="false"/>
          <w:sz w:val="20"/>
        </w:rPr>
        <w:t>”). The Company and its related entities may transfer Data amongst themselves as necessary for the purpose of implementation, administration, and management of the Participant’s participation in the Plan, and the Company and its related entities may each further transfer Data to any third parties assisting the Company or any such related entity in the implementation, administration, and management of the Plan. The Participant acknowledges that the transferors and transferees of such Data may be located anywhere in the world and hereby authorizes each of them to receive, possess, use, retain and transfer the Data, in electronic or other form, for the purposes of implementing, administering, and managing the Participant’s participation in the Plan, including any transfer of such Data as may be required for the administration of the Plan and the subsequent holding of Shares on the Participant’s behalf to a broker or to other third party with whom the Participant may elect to deposit any Shares acquired under the Plan (whether pursuant to the Award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notice to be given under the terms of this Award Agreement shall be in writing and addressed to the Company at its principal office to the attention of the Secretary, and to the Participant at the Participant’s last address reflected on the Company’s records, or at such other address as either party may hereafter designate in writing to the other. Any such notice shall be deemed given only when received, but if the Participant is no longer an employee of the Company, shall be deemed to have been duly given by the Company when enclosed in a properly sealed envelope addressed as aforesaid, registered or certified, and deposited (postage and registry or certification fee prepaid) in a post office or branch post office regularly maintained by the United States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i w:val="false"/>
          <w:caps w:val="false"/>
          <w:smallCaps w:val="false"/>
          <w:sz w:val="20"/>
          <w:u w:val="single"/>
        </w:rPr>
        <w:t>Plan</w:t>
      </w:r>
      <w:r>
        <w:rPr>
          <w:rFonts w:ascii="Times New Roman;Times;Serif" w:hAnsi="Times New Roman;Times;Serif"/>
          <w:b w:val="false"/>
          <w:i w:val="false"/>
          <w:caps w:val="false"/>
          <w:smallCaps w:val="false"/>
          <w:sz w:val="20"/>
        </w:rPr>
        <w:t>. The Award and all rights of the Participant under this Award Agreement are subject to the terms and conditions of the provisions of the Plan, incorporated herein by reference. The Participant agrees to be bound by the terms of the Plan and this Award Agreement. The Participant acknowledges having read and understood the Plan, the Prospectus for the Plan, and this Award Agreement. Unless otherwise expressly provided in other sections of this Award Agreement, provisions of the Plan that confer discretionary authority on the Board or the Committee do not (and shall not be deemed to) create any rights in the Participant unless such rights are expressly set forth herein or are otherwise in the sole discretion of the Board or the Committee so conferred by appropriate action of the Board or the Committee under the Plan after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Award Agreement and the Plan together constitute the entire agreement and supersede all prior understandings and agreements, written or oral, of the parties hereto with respect to the subject matter hereof. The Plan and this Award Agreement may be amended pursuant to Section 13 of the Plan. Such amendment must be in writing and signed by the Company. The Company may, however, unilaterally waive any provision hereof in writing to the extent such waiver does not adversely affect the interests of the Participant hereunder, but no such waiver shall operate as or be construed to be a subsequent waiver of the same provision or a waiver of any other provision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i w:val="false"/>
          <w:caps w:val="false"/>
          <w:smallCaps w:val="false"/>
          <w:sz w:val="20"/>
          <w:u w:val="single"/>
        </w:rPr>
        <w:t>Limitation on the Participant’s Rights</w:t>
      </w:r>
      <w:r>
        <w:rPr>
          <w:rFonts w:ascii="Times New Roman;Times;Serif" w:hAnsi="Times New Roman;Times;Serif"/>
          <w:b w:val="false"/>
          <w:i w:val="false"/>
          <w:caps w:val="false"/>
          <w:smallCaps w:val="false"/>
          <w:sz w:val="20"/>
        </w:rPr>
        <w:t>. Participation in the Plan confers no rights or interests other than as herein provided. This Award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with respect to amounts credited and benefits payable, if any, with respect to the RSUs, and rights no greater than the right to receive the Shares as a general unsecured creditor with respect to RSUs, as and when payable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i w:val="false"/>
          <w:caps w:val="false"/>
          <w:smallCaps w:val="false"/>
          <w:sz w:val="20"/>
          <w:u w:val="single"/>
        </w:rPr>
        <w:t>Section Headings</w:t>
      </w:r>
      <w:r>
        <w:rPr>
          <w:rFonts w:ascii="Times New Roman;Times;Serif" w:hAnsi="Times New Roman;Times;Serif"/>
          <w:b w:val="false"/>
          <w:i w:val="false"/>
          <w:caps w:val="false"/>
          <w:smallCaps w:val="false"/>
          <w:sz w:val="20"/>
        </w:rPr>
        <w:t>. The section headings of this Award Agreement are for convenience of reference only and shall not be deemed to alter or affect any provision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Award Agreement shall be governed by and construed and enforced in accordance with the laws of the State of New York and applicable U.S. federal laws without regard to conflict of law principles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 </w:t>
      </w:r>
      <w:r>
        <w:rPr>
          <w:rFonts w:ascii="Times New Roman;Times;Serif" w:hAnsi="Times New Roman;Times;Serif"/>
          <w:b/>
          <w:i w:val="false"/>
          <w:caps w:val="false"/>
          <w:smallCaps w:val="false"/>
          <w:sz w:val="20"/>
          <w:u w:val="single"/>
        </w:rPr>
        <w:t>Choice of Venue</w:t>
      </w:r>
      <w:r>
        <w:rPr>
          <w:rFonts w:ascii="Times New Roman;Times;Serif" w:hAnsi="Times New Roman;Times;Serif"/>
          <w:b w:val="false"/>
          <w:i w:val="false"/>
          <w:caps w:val="false"/>
          <w:smallCaps w:val="false"/>
          <w:sz w:val="20"/>
        </w:rPr>
        <w:t>. For purposes of litigating any dispute that arises directly or indirectly from the relationship of the parties evidenced by this grant or this Award Agreement, the parties hereby submit to the exclusive jurisdiction of the State of New York and agree that such litigation shall be conducted only in the courts of Suffolk County, New York, or the federal courts for the Eastern District of New York, and no other courts, where this grant is made or to be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 It is intended that the terms of the Award will not result in the imposition of any tax liability pursuant to Section 409A of the Code. This Award Agreement shall be construed and interpreted with that intent.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Award Agreement are severable and if any one of more provisions are determined to be illegal or otherwise unenforceable, in whole or in part, the remaining provisions shall nevertheless be binding and 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23. </w:t>
      </w:r>
      <w:r>
        <w:rPr>
          <w:rFonts w:ascii="Times New Roman;Times;Serif" w:hAnsi="Times New Roman;Times;Serif"/>
          <w:b/>
          <w:i w:val="false"/>
          <w:caps w:val="false"/>
          <w:smallCaps w:val="false"/>
          <w:sz w:val="20"/>
          <w:u w:val="single"/>
        </w:rPr>
        <w:t>Imposition of Other Requirements</w:t>
      </w:r>
      <w:r>
        <w:rPr>
          <w:rFonts w:ascii="Times New Roman;Times;Serif" w:hAnsi="Times New Roman;Times;Serif"/>
          <w:b w:val="false"/>
          <w:i w:val="false"/>
          <w:caps w:val="false"/>
          <w:smallCaps w:val="false"/>
          <w:sz w:val="20"/>
        </w:rPr>
        <w:t>.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Air Industries Group, I thank you for your dedication and efforts on our behalf.</w:t>
      </w:r>
    </w:p>
    <w:p>
      <w:pPr>
        <w:pStyle w:val="TextBody"/>
        <w:bidi w:val="0"/>
        <w:spacing w:before="0" w:after="0"/>
        <w:ind w:left="0" w:right="0" w:firstLine="720"/>
        <w:jc w:val="both"/>
        <w:rPr>
          <w:caps w:val="false"/>
          <w:smallCaps w:val="false"/>
        </w:rPr>
      </w:pPr>
      <w:r>
        <w:rPr>
          <w:caps w:val="false"/>
          <w:smallCaps w:val="false"/>
        </w:rPr>
        <w:t> </w:t>
      </w:r>
    </w:p>
    <w:tbl>
      <w:tblPr>
        <w:tblW w:w="3154" w:type="dxa"/>
        <w:jc w:val="left"/>
        <w:tblInd w:w="0" w:type="dxa"/>
        <w:tblLayout w:type="fixed"/>
        <w:tblCellMar>
          <w:top w:w="0" w:type="dxa"/>
          <w:left w:w="0" w:type="dxa"/>
          <w:bottom w:w="0" w:type="dxa"/>
          <w:right w:w="0" w:type="dxa"/>
        </w:tblCellMar>
      </w:tblPr>
      <w:tblGrid>
        <w:gridCol w:w="75"/>
        <w:gridCol w:w="914"/>
        <w:gridCol w:w="2165"/>
      </w:tblGrid>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AIR INDUSTRIES GROUP</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16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Luciano Melluzzo</w:t>
            </w:r>
          </w:p>
        </w:tc>
      </w:tr>
      <w:tr>
        <w:trPr/>
        <w:tc>
          <w:tcPr>
            <w:tcW w:w="7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Operating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right"/>
        <w:rPr>
          <w:b/>
        </w:rPr>
      </w:pPr>
      <w:bookmarkStart w:id="41" w:name="ea028229801ex10-17.htm"/>
      <w:bookmarkStart w:id="42" w:name="ksea028229801ex1017"/>
      <w:bookmarkEnd w:id="41"/>
      <w:bookmarkEnd w:id="42"/>
      <w:r>
        <w:rPr>
          <w:b/>
        </w:rPr>
        <w:t>Exhibit 10.17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098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2"/>
                    <a:stretch>
                      <a:fillRect/>
                    </a:stretch>
                  </pic:blipFill>
                  <pic:spPr bwMode="auto">
                    <a:xfrm>
                      <a:off x="0" y="0"/>
                      <a:ext cx="2609850" cy="771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 2026</w:t>
      </w:r>
    </w:p>
    <w:p>
      <w:pPr>
        <w:pStyle w:val="TextBody"/>
        <w:bidi w:val="0"/>
        <w:spacing w:before="0" w:after="0"/>
        <w:ind w:left="0" w:right="0" w:hanging="0"/>
        <w:jc w:val="center"/>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38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To:</w:t>
            </w:r>
          </w:p>
        </w:tc>
        <w:tc>
          <w:tcPr>
            <w:tcW w:w="3560" w:type="dxa"/>
            <w:tcBorders/>
            <w:vAlign w:val="center"/>
          </w:tcPr>
          <w:p>
            <w:pPr>
              <w:pStyle w:val="TableContents"/>
              <w:bidi w:val="0"/>
              <w:spacing w:before="0" w:after="283"/>
              <w:jc w:val="both"/>
              <w:rPr/>
            </w:pPr>
            <w:r>
              <w:rPr/>
              <w:t>(Insert Name) (a “</w:t>
            </w:r>
            <w:r>
              <w:rPr>
                <w:b/>
              </w:rPr>
              <w:t>Covered Person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38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Re:</w:t>
            </w:r>
          </w:p>
        </w:tc>
        <w:tc>
          <w:tcPr>
            <w:tcW w:w="5570" w:type="dxa"/>
            <w:tcBorders/>
            <w:vAlign w:val="center"/>
          </w:tcPr>
          <w:p>
            <w:pPr>
              <w:pStyle w:val="TableContents"/>
              <w:bidi w:val="0"/>
              <w:spacing w:before="0" w:after="283"/>
              <w:jc w:val="both"/>
              <w:rPr>
                <w:b/>
                <w:u w:val="single"/>
              </w:rPr>
            </w:pPr>
            <w:r>
              <w:rPr>
                <w:b/>
                <w:u w:val="single"/>
              </w:rPr>
              <w:t>Per Diem Compensation and Expense Reimbursement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is entered into by Air Industries Group,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each Covered Person. The Company is considering entering into an Agreement and Plan of Merger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among the Company, Tenax Aerospace Acquisition, LLC (“Tenax”), and a subsidiary of the Company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Certain Covered Persons may not be engaged by the Company after consummation of the Merger Agreement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and nevertheless may be requested to cooperate after the Merger with the Company, its counsel, auditors, and advisors in connection with the transactions contemplated by the Merger Agreement and operations of the Company prior to the Merger (“</w:t>
      </w:r>
      <w:r>
        <w:rPr>
          <w:rFonts w:ascii="Times New Roman;Times;Serif" w:hAnsi="Times New Roman;Times;Serif"/>
          <w:b/>
          <w:i w:val="false"/>
          <w:caps w:val="false"/>
          <w:smallCaps w:val="false"/>
          <w:sz w:val="20"/>
        </w:rPr>
        <w:t>Cooperation Activities</w:t>
      </w:r>
      <w:r>
        <w:rPr>
          <w:rFonts w:ascii="Times New Roman;Times;Serif" w:hAnsi="Times New Roman;Times;Serif"/>
          <w:b w:val="false"/>
          <w:i w:val="false"/>
          <w:caps w:val="false"/>
          <w:smallCaps w:val="false"/>
          <w:sz w:val="20"/>
        </w:rPr>
        <w:t>”). In consideration of the agreement of each Covered Person to cooperate with the Company after consummation of the Merger in the event he is not then engaged by the Company,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Per Diem. </w:t>
      </w:r>
      <w:r>
        <w:rPr>
          <w:rFonts w:ascii="Times New Roman;Times;Serif" w:hAnsi="Times New Roman;Times;Serif"/>
          <w:b w:val="false"/>
          <w:i w:val="false"/>
          <w:caps w:val="false"/>
          <w:smallCaps w:val="false"/>
          <w:sz w:val="20"/>
        </w:rPr>
        <w:t xml:space="preserve">The Company shall pay each Covered Person $500.00 per each calendar day on which such Covered Person is not otherwise engaged by the Company and devotes more than an insignificant portion of his or her working time to Cooperation Activities at the Company’s request (each, a “Cooperation Day”). The per diem is payable monthly in arrears within fifteen (15) business days after the Covered Person submits a written statement identifying each Cooperation Day and the activities performed. The per diem is compensation for time and is exclusive of Reasonable Expenses under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Reasonable Expenses. </w:t>
      </w:r>
      <w:r>
        <w:rPr>
          <w:rFonts w:ascii="Times New Roman;Times;Serif" w:hAnsi="Times New Roman;Times;Serif"/>
          <w:b w:val="false"/>
          <w:i w:val="false"/>
          <w:caps w:val="false"/>
          <w:smallCaps w:val="false"/>
          <w:sz w:val="20"/>
        </w:rPr>
        <w:t>In addition to the per diem, the Company shall reimburse each Covered Person for reasonable, documented, out-of-pocket expenses actually incurred in connection with Cooperation Activities, including, but not limited to: (a) local and intercity transportation (including mileage at the IRS standard rate); (b) parking, tolls, and ground transportation; (c) airfare (coach class unless otherwise approved); (d) lodging where overnight travel is required; and (e) meals during travel (“</w:t>
      </w:r>
      <w:r>
        <w:rPr>
          <w:rFonts w:ascii="Times New Roman;Times;Serif" w:hAnsi="Times New Roman;Times;Serif"/>
          <w:b/>
          <w:i w:val="false"/>
          <w:caps w:val="false"/>
          <w:smallCaps w:val="false"/>
          <w:sz w:val="20"/>
        </w:rPr>
        <w:t>Reasonable Expenses</w:t>
      </w:r>
      <w:r>
        <w:rPr>
          <w:rFonts w:ascii="Times New Roman;Times;Serif" w:hAnsi="Times New Roman;Times;Serif"/>
          <w:b w:val="false"/>
          <w:i w:val="false"/>
          <w:caps w:val="false"/>
          <w:smallCaps w:val="false"/>
          <w:sz w:val="20"/>
        </w:rPr>
        <w:t>”). Reasonable Expenses shall be submitted with receipts within thirty (30) days and reimbursed within fifteen (15) business days. Reasonable Expenses exclude fees of personal counsel, expenses reimbursable under other Company agreements, and expenses unrelated to Cooperation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Term. </w:t>
      </w:r>
      <w:r>
        <w:rPr>
          <w:rFonts w:ascii="Times New Roman;Times;Serif" w:hAnsi="Times New Roman;Times;Serif"/>
          <w:b w:val="false"/>
          <w:i w:val="false"/>
          <w:caps w:val="false"/>
          <w:smallCaps w:val="false"/>
          <w:sz w:val="20"/>
        </w:rPr>
        <w:t xml:space="preserve">This Letter Agreement is effective as of the date above and terminates two years after the date of the Merger or upon mutual written agreement; </w:t>
      </w:r>
      <w:r>
        <w:rPr>
          <w:rFonts w:ascii="Times New Roman;Times;Serif" w:hAnsi="Times New Roman;Times;Serif"/>
          <w:b w:val="false"/>
          <w:i/>
          <w:caps w:val="false"/>
          <w:smallCaps w:val="false"/>
          <w:sz w:val="20"/>
          <w:u w:val="single"/>
        </w:rPr>
        <w:t>provided that</w:t>
      </w:r>
      <w:r>
        <w:rPr>
          <w:rFonts w:ascii="Times New Roman;Times;Serif" w:hAnsi="Times New Roman;Times;Serif"/>
          <w:b w:val="false"/>
          <w:i w:val="false"/>
          <w:caps w:val="false"/>
          <w:smallCaps w:val="false"/>
          <w:sz w:val="20"/>
        </w:rPr>
        <w:t>, payment obligations for Cooperation Days occurring, or Reasonable Expenses incurred, in either case before termination, survive until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General Provisions. </w:t>
      </w:r>
      <w:r>
        <w:rPr>
          <w:rFonts w:ascii="Times New Roman;Times;Serif" w:hAnsi="Times New Roman;Times;Serif"/>
          <w:b w:val="false"/>
          <w:i w:val="false"/>
          <w:caps w:val="false"/>
          <w:smallCaps w:val="false"/>
          <w:sz w:val="20"/>
        </w:rPr>
        <w:t>Payments hereunder supplement, and do not duplicate, any indemnification or advancement rights under the Company’s organizational documents, any indemnification agreement or applicable law (including NRS § 78.7502). This Letter Agreement is intended to comply with Section 409A of the Internal Revenue Code; no payment shall be made later than the last day of the Covered Person’s taxable year following the year in which the Cooperation Day occurred or such Reasonable Expenses were incurred. This Letter Agreement is governed by Nevada law, may be executed in counterparts (including .pdf), constitutes the entire agreement of the parties on this subject, and may not be amended except in a writing signed by all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accurately reflects our understanding and agreement, please so indicate by executing this Letter Agreement in the space provided below and returning a signed copy to the undersigned.</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962"/>
        <w:gridCol w:w="3032"/>
        <w:gridCol w:w="75"/>
      </w:tblGrid>
      <w:tr>
        <w:trPr/>
        <w:tc>
          <w:tcPr>
            <w:tcW w:w="3994" w:type="dxa"/>
            <w:gridSpan w:val="2"/>
            <w:tcBorders/>
            <w:vAlign w:val="center"/>
          </w:tcPr>
          <w:p>
            <w:pPr>
              <w:pStyle w:val="TableContents"/>
              <w:bidi w:val="0"/>
              <w:spacing w:before="0" w:after="283"/>
              <w:jc w:val="left"/>
              <w:rPr>
                <w:b/>
              </w:rPr>
            </w:pPr>
            <w:r>
              <w:rPr>
                <w:b/>
              </w:rPr>
              <w:t>AIR INDUSTRIES GROUP, INC.</w:t>
            </w:r>
          </w:p>
        </w:tc>
        <w:tc>
          <w:tcPr>
            <w:tcW w:w="75"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pPr>
            <w:r>
              <w:rPr/>
              <w:t>By:</w:t>
            </w:r>
          </w:p>
        </w:tc>
        <w:tc>
          <w:tcPr>
            <w:tcW w:w="3032"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pPr>
            <w:r>
              <w:rPr/>
              <w:t>Name: </w:t>
            </w:r>
          </w:p>
        </w:tc>
        <w:tc>
          <w:tcPr>
            <w:tcW w:w="3032" w:type="dxa"/>
            <w:tcBorders/>
            <w:vAlign w:val="center"/>
          </w:tcPr>
          <w:p>
            <w:pPr>
              <w:pStyle w:val="TableContents"/>
              <w:bidi w:val="0"/>
              <w:spacing w:before="0" w:after="283"/>
              <w:jc w:val="left"/>
              <w:rPr/>
            </w:pPr>
            <w:r>
              <w:rPr/>
              <w:t>Luciano Melluzzo</w:t>
            </w:r>
          </w:p>
        </w:tc>
        <w:tc>
          <w:tcPr>
            <w:tcW w:w="75"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pPr>
            <w:r>
              <w:rPr/>
              <w:t>Title:</w:t>
            </w:r>
          </w:p>
        </w:tc>
        <w:tc>
          <w:tcPr>
            <w:tcW w:w="3032"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b/>
              </w:rPr>
            </w:pPr>
            <w:r>
              <w:rPr>
                <w:b/>
              </w:rPr>
              <w:t>ACKNOWLEDGED AND AGREED:</w:t>
            </w:r>
          </w:p>
        </w:tc>
        <w:tc>
          <w:tcPr>
            <w:tcW w:w="75"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pPr>
            <w:r>
              <w:rPr/>
              <w:t> </w:t>
            </w:r>
          </w:p>
        </w:tc>
        <w:tc>
          <w:tcPr>
            <w:tcW w:w="30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pPr>
            <w:r>
              <w:rPr/>
              <w:t>Name:</w:t>
            </w:r>
          </w:p>
        </w:tc>
        <w:tc>
          <w:tcPr>
            <w:tcW w:w="3032"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pPr>
            <w:r>
              <w:rPr/>
              <w:t>A Covered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ea028229801ex23-1.htm"/>
      <w:bookmarkStart w:id="44" w:name="ksea028229801ex231"/>
      <w:bookmarkEnd w:id="43"/>
      <w:bookmarkEnd w:id="44"/>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S-8 (Registration Nos. 333-289880, 333-289136, 333-276026, 333-264738, 333-219487, and 333-217393) of our report dated March 27, 2026, with respect to the consolidated financial statements of Air Industries Group and subsidiaries included in this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 xml:space="preserve">CBIZ CPAs P.C.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Saddle Brook, NJ</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28229801ex23-2.htm"/>
      <w:bookmarkStart w:id="46" w:name="ksea028229801ex232"/>
      <w:bookmarkEnd w:id="45"/>
      <w:bookmarkEnd w:id="46"/>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S-8 (Nos. 333-289880, 333-289136, 333-276026, 333-264738, 333-219487 and 333-217393) of our report dated April 15, 2025 with respect to the consolidated financial statements of Air Industries Group and subsidiaries included in this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Saddle Brook, NJ</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2026</w:t>
      </w:r>
    </w:p>
    <w:p>
      <w:pPr>
        <w:pStyle w:val="TextBody"/>
        <w:bidi w:val="0"/>
        <w:spacing w:before="0" w:after="0"/>
        <w:ind w:left="0" w:right="0" w:firstLine="9360"/>
        <w:jc w:val="right"/>
        <w:rPr>
          <w:rFonts w:ascii="Times New Roman;Times;Serif" w:hAnsi="Times New Roman;Times;Serif"/>
          <w:b/>
          <w:i w:val="false"/>
          <w:caps w:val="false"/>
          <w:smallCaps w:val="false"/>
          <w:sz w:val="20"/>
        </w:rPr>
      </w:pPr>
      <w:bookmarkStart w:id="47" w:name="ea028229801ex31-1.htm"/>
      <w:bookmarkStart w:id="48" w:name="ksea028229801ex311"/>
      <w:bookmarkEnd w:id="47"/>
      <w:bookmarkEnd w:id="48"/>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13a-14(a) UNDER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Scott Glassman,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Air Industries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3695"/>
        <w:gridCol w:w="75"/>
      </w:tblGrid>
      <w:tr>
        <w:trPr/>
        <w:tc>
          <w:tcPr>
            <w:tcW w:w="3695" w:type="dxa"/>
            <w:tcBorders/>
            <w:vAlign w:val="center"/>
          </w:tcPr>
          <w:p>
            <w:pPr>
              <w:pStyle w:val="TableContents"/>
              <w:bidi w:val="0"/>
              <w:spacing w:before="0" w:after="283"/>
              <w:jc w:val="left"/>
              <w:rPr>
                <w:sz w:val="20"/>
              </w:rPr>
            </w:pPr>
            <w:r>
              <w:rPr>
                <w:sz w:val="20"/>
              </w:rPr>
              <w:t>Dated: March 27, 2026</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9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Scott Glassman</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20"/>
              </w:rPr>
            </w:pPr>
            <w:r>
              <w:rPr>
                <w:sz w:val="20"/>
              </w:rPr>
              <w:t>Scott Glassman</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Chief Executive Officer and President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ea028229801ex31-2.htm"/>
      <w:bookmarkStart w:id="50" w:name="ksea028229801ex312"/>
      <w:bookmarkEnd w:id="49"/>
      <w:bookmarkEnd w:id="50"/>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13a-14(a) UNDER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Brian Drisgula,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of Air Industries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2300"/>
        <w:gridCol w:w="75"/>
      </w:tblGrid>
      <w:tr>
        <w:trPr/>
        <w:tc>
          <w:tcPr>
            <w:tcW w:w="2300" w:type="dxa"/>
            <w:tcBorders/>
            <w:vAlign w:val="center"/>
          </w:tcPr>
          <w:p>
            <w:pPr>
              <w:pStyle w:val="TableContents"/>
              <w:bidi w:val="0"/>
              <w:spacing w:before="0" w:after="283"/>
              <w:jc w:val="left"/>
              <w:rPr>
                <w:sz w:val="20"/>
              </w:rPr>
            </w:pPr>
            <w:r>
              <w:rPr>
                <w:sz w:val="20"/>
              </w:rPr>
              <w:t>Dated: March 27, 2026</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Brian Drisgula</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20"/>
              </w:rPr>
            </w:pPr>
            <w:r>
              <w:rPr>
                <w:sz w:val="20"/>
              </w:rPr>
              <w:t>Brian Drisgula</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of Finance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ea028229801ex32-1.htm"/>
      <w:bookmarkStart w:id="52" w:name="ksea028229801ex321"/>
      <w:bookmarkEnd w:id="51"/>
      <w:bookmarkEnd w:id="52"/>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EXECUTIVE OFFICER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 ACT OF 2002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Air Industries Group, a Nevada corporation (the “Company”), on Form 10-K for the year ended December 31, 2025, as filed with the Securities and Exchange Commission (the “Report”), Scott Glassman, Acting Chief Executive Officer of the Company, does hereby certify, pursuant to Section 906 of the Sarbanes-Oxley Act of 2002 (18 U.S.C. ss. 1350), that: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27, 2026</w:t>
      </w:r>
    </w:p>
    <w:p>
      <w:pPr>
        <w:pStyle w:val="TextBody"/>
        <w:bidi w:val="0"/>
        <w:spacing w:before="0" w:after="0"/>
        <w:ind w:left="0" w:right="0" w:hanging="0"/>
        <w:jc w:val="left"/>
        <w:rPr>
          <w:caps w:val="false"/>
          <w:smallCaps w:val="false"/>
        </w:rPr>
      </w:pPr>
      <w:r>
        <w:rPr>
          <w:caps w:val="false"/>
          <w:smallCaps w:val="false"/>
        </w:rPr>
        <w:t> </w:t>
      </w:r>
    </w:p>
    <w:tbl>
      <w:tblPr>
        <w:tblW w:w="3770" w:type="dxa"/>
        <w:jc w:val="left"/>
        <w:tblInd w:w="0" w:type="dxa"/>
        <w:tblLayout w:type="fixed"/>
        <w:tblCellMar>
          <w:top w:w="0" w:type="dxa"/>
          <w:left w:w="0" w:type="dxa"/>
          <w:bottom w:w="28" w:type="dxa"/>
          <w:right w:w="0" w:type="dxa"/>
        </w:tblCellMar>
      </w:tblPr>
      <w:tblGrid>
        <w:gridCol w:w="3695"/>
        <w:gridCol w:w="75"/>
      </w:tblGrid>
      <w:tr>
        <w:trPr/>
        <w:tc>
          <w:tcPr>
            <w:tcW w:w="3695" w:type="dxa"/>
            <w:tcBorders>
              <w:bottom w:val="single" w:sz="12" w:space="0" w:color="000000"/>
            </w:tcBorders>
            <w:vAlign w:val="center"/>
          </w:tcPr>
          <w:p>
            <w:pPr>
              <w:pStyle w:val="TableContents"/>
              <w:bidi w:val="0"/>
              <w:spacing w:before="0" w:after="283"/>
              <w:jc w:val="left"/>
              <w:rPr>
                <w:i/>
                <w:sz w:val="20"/>
              </w:rPr>
            </w:pPr>
            <w:r>
              <w:rPr>
                <w:i/>
                <w:sz w:val="20"/>
              </w:rPr>
              <w:t>/s/ Scott Glassman</w:t>
            </w:r>
          </w:p>
        </w:tc>
        <w:tc>
          <w:tcPr>
            <w:tcW w:w="75" w:type="dxa"/>
            <w:tcBorders/>
            <w:tcMar>
              <w:bottom w:w="0" w:type="dxa"/>
            </w:tcMar>
            <w:vAlign w:val="center"/>
          </w:tcPr>
          <w:p>
            <w:pPr>
              <w:pStyle w:val="TableContents"/>
              <w:bidi w:val="0"/>
              <w:spacing w:before="0" w:after="283"/>
              <w:jc w:val="left"/>
              <w:rPr/>
            </w:pPr>
            <w:r>
              <w:rPr/>
              <w:t> </w:t>
            </w:r>
          </w:p>
        </w:tc>
      </w:tr>
      <w:tr>
        <w:trPr/>
        <w:tc>
          <w:tcPr>
            <w:tcW w:w="3695" w:type="dxa"/>
            <w:tcBorders/>
            <w:tcMar>
              <w:bottom w:w="0" w:type="dxa"/>
            </w:tcMar>
            <w:vAlign w:val="center"/>
          </w:tcPr>
          <w:p>
            <w:pPr>
              <w:pStyle w:val="TableContents"/>
              <w:bidi w:val="0"/>
              <w:spacing w:before="0" w:after="283"/>
              <w:jc w:val="left"/>
              <w:rPr>
                <w:sz w:val="20"/>
              </w:rPr>
            </w:pPr>
            <w:r>
              <w:rPr>
                <w:sz w:val="20"/>
              </w:rPr>
              <w:t xml:space="preserve">Scott Glassman </w:t>
            </w:r>
          </w:p>
        </w:tc>
        <w:tc>
          <w:tcPr>
            <w:tcW w:w="75" w:type="dxa"/>
            <w:tcBorders/>
            <w:tcMar>
              <w:bottom w:w="0" w:type="dxa"/>
            </w:tcMar>
            <w:vAlign w:val="center"/>
          </w:tcPr>
          <w:p>
            <w:pPr>
              <w:pStyle w:val="TableContents"/>
              <w:bidi w:val="0"/>
              <w:spacing w:before="0" w:after="283"/>
              <w:jc w:val="left"/>
              <w:rPr/>
            </w:pPr>
            <w:r>
              <w:rPr/>
              <w:t> </w:t>
            </w:r>
          </w:p>
        </w:tc>
      </w:tr>
      <w:tr>
        <w:trPr/>
        <w:tc>
          <w:tcPr>
            <w:tcW w:w="369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Chief Executive Officer and President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ea028229801ex32-2.htm"/>
      <w:bookmarkStart w:id="54" w:name="ksea028229801ex322"/>
      <w:bookmarkEnd w:id="53"/>
      <w:bookmarkEnd w:id="54"/>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 ACT OF 2002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Air Industries Group, a Nevada corporation (the “Company”), on Form 10-K for the year ended December 31, 2025, as filed with the Securities and Exchange Commission (the “Report”), Brian Drisgula, Vice President of Finance of the Company, does hereby certify, pursuant to Section 906 of the Sarbanes-Oxley Act of 2002 (18 U.S.C. ss. 1350), that: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27, 2026</w:t>
      </w:r>
    </w:p>
    <w:p>
      <w:pPr>
        <w:pStyle w:val="TextBody"/>
        <w:bidi w:val="0"/>
        <w:spacing w:before="0" w:after="0"/>
        <w:ind w:left="0" w:right="0" w:hanging="0"/>
        <w:jc w:val="left"/>
        <w:rPr>
          <w:caps w:val="false"/>
          <w:smallCaps w:val="false"/>
        </w:rPr>
      </w:pPr>
      <w:r>
        <w:rPr>
          <w:caps w:val="false"/>
          <w:smallCaps w:val="false"/>
        </w:rPr>
        <w:t> </w:t>
      </w:r>
    </w:p>
    <w:tbl>
      <w:tblPr>
        <w:tblW w:w="4280" w:type="dxa"/>
        <w:jc w:val="left"/>
        <w:tblInd w:w="0" w:type="dxa"/>
        <w:tblLayout w:type="fixed"/>
        <w:tblCellMar>
          <w:top w:w="0" w:type="dxa"/>
          <w:left w:w="0" w:type="dxa"/>
          <w:bottom w:w="28" w:type="dxa"/>
          <w:right w:w="0" w:type="dxa"/>
        </w:tblCellMar>
      </w:tblPr>
      <w:tblGrid>
        <w:gridCol w:w="4205"/>
        <w:gridCol w:w="75"/>
      </w:tblGrid>
      <w:tr>
        <w:trPr/>
        <w:tc>
          <w:tcPr>
            <w:tcW w:w="4205" w:type="dxa"/>
            <w:tcBorders>
              <w:bottom w:val="single" w:sz="12" w:space="0" w:color="000000"/>
            </w:tcBorders>
            <w:vAlign w:val="center"/>
          </w:tcPr>
          <w:p>
            <w:pPr>
              <w:pStyle w:val="TableContents"/>
              <w:bidi w:val="0"/>
              <w:spacing w:before="0" w:after="283"/>
              <w:jc w:val="left"/>
              <w:rPr>
                <w:i/>
                <w:sz w:val="20"/>
              </w:rPr>
            </w:pPr>
            <w:r>
              <w:rPr>
                <w:i/>
                <w:sz w:val="20"/>
              </w:rPr>
              <w:t>/s/ Brian Drisgula</w:t>
            </w:r>
          </w:p>
        </w:tc>
        <w:tc>
          <w:tcPr>
            <w:tcW w:w="75" w:type="dxa"/>
            <w:tcBorders/>
            <w:tcMar>
              <w:bottom w:w="0" w:type="dxa"/>
            </w:tcMar>
            <w:vAlign w:val="center"/>
          </w:tcPr>
          <w:p>
            <w:pPr>
              <w:pStyle w:val="TableContents"/>
              <w:bidi w:val="0"/>
              <w:spacing w:before="0" w:after="283"/>
              <w:jc w:val="left"/>
              <w:rPr/>
            </w:pPr>
            <w:r>
              <w:rPr/>
              <w:t> </w:t>
            </w:r>
          </w:p>
        </w:tc>
      </w:tr>
      <w:tr>
        <w:trPr/>
        <w:tc>
          <w:tcPr>
            <w:tcW w:w="420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Drisgula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of Finance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09891/000119380513001557/e611262_ex3-1.htm" TargetMode="External"/><Relationship Id="rId3" Type="http://schemas.openxmlformats.org/officeDocument/2006/relationships/hyperlink" Target="http://www.sec.gov/Archives/edgar/data/1009891/000119380517000662/e616037_ex3-3.htm" TargetMode="External"/><Relationship Id="rId4" Type="http://schemas.openxmlformats.org/officeDocument/2006/relationships/hyperlink" Target="http://www.sec.gov/Archives/edgar/data/1009891/000119380515000450/e613482_ex3-2.htm" TargetMode="External"/><Relationship Id="rId5" Type="http://schemas.openxmlformats.org/officeDocument/2006/relationships/hyperlink" Target="http://www.sec.gov/Archives/edgar/data/1009891/000121390019014973/f10q0619ex3-5_airindustries.htm" TargetMode="External"/><Relationship Id="rId6" Type="http://schemas.openxmlformats.org/officeDocument/2006/relationships/hyperlink" Target="http://www.sec.gov/Archives/edgar/data/1009891/000121390022064456/ea167154ex3-1_airindust.htm" TargetMode="External"/><Relationship Id="rId7" Type="http://schemas.openxmlformats.org/officeDocument/2006/relationships/hyperlink" Target="http://www.sec.gov/Archives/edgar/data/1009891/000121390019014973/f10q0619ex3-5_airindustries.htm" TargetMode="External"/><Relationship Id="rId8" Type="http://schemas.openxmlformats.org/officeDocument/2006/relationships/hyperlink" Target="http://www.sec.gov/Archives/edgar/data/1009891/000121390020007657/f10k2019ex4-1_airindus.htm" TargetMode="External"/><Relationship Id="rId9" Type="http://schemas.openxmlformats.org/officeDocument/2006/relationships/hyperlink" Target="http://www.sec.gov/Archives/edgar/data/1009891/000121390020000225/f8k123119ex10-1_airindustri.htm" TargetMode="External"/><Relationship Id="rId10" Type="http://schemas.openxmlformats.org/officeDocument/2006/relationships/hyperlink" Target="http://www.sec.gov/Archives/edgar/data/1009891/000121390020000225/f8k123119ex10-2_airindustri.htm" TargetMode="External"/><Relationship Id="rId11" Type="http://schemas.openxmlformats.org/officeDocument/2006/relationships/hyperlink" Target="http://www.sec.gov/Archives/edgar/data/1009891/000121390020000225/f8k123119ex10-3_airindustri.htm" TargetMode="External"/><Relationship Id="rId12" Type="http://schemas.openxmlformats.org/officeDocument/2006/relationships/hyperlink" Target="http://www.sec.gov/Archives/edgar/data/1009891/000121390020035943/f10q0920ex10-4_airindustries.htm" TargetMode="External"/><Relationship Id="rId13" Type="http://schemas.openxmlformats.org/officeDocument/2006/relationships/hyperlink" Target="http://www.sec.gov/Archives/edgar/data/1009891/000121390021040428/f10q0621ex10-1_airindustries.htm" TargetMode="External"/><Relationship Id="rId14" Type="http://schemas.openxmlformats.org/officeDocument/2006/relationships/hyperlink" Target="http://www.sec.gov/Archives/edgar/data/1009891/000121390021064211/ea151960ex10-1_airindustries.htm" TargetMode="External"/><Relationship Id="rId15" Type="http://schemas.openxmlformats.org/officeDocument/2006/relationships/hyperlink" Target="http://www.sec.gov/Archives/edgar/data/1009891/000121390022027831/ea160199ex10-1_airindust.htm" TargetMode="External"/><Relationship Id="rId16" Type="http://schemas.openxmlformats.org/officeDocument/2006/relationships/hyperlink" Target="http://www.sec.gov/Archives/edgar/data/1009891/000121390023065140/ea183027ex99-1_airindustries.htm" TargetMode="External"/><Relationship Id="rId17" Type="http://schemas.openxmlformats.org/officeDocument/2006/relationships/hyperlink" Target="http://www.sec.gov/Archives/edgar/data/1009891/000121390023090173/ea189080ex99-1_airindust.htm" TargetMode="External"/><Relationship Id="rId18" Type="http://schemas.openxmlformats.org/officeDocument/2006/relationships/hyperlink" Target="https://www.sec.gov/Archives/edgar/data/1009891/000121390024048783/ea020722501ex10-1_airindust.htm" TargetMode="External"/><Relationship Id="rId19" Type="http://schemas.openxmlformats.org/officeDocument/2006/relationships/hyperlink" Target="https://www.sec.gov/Archives/edgar/data/1009891/000121390025009093/ea022955101ex10-1_airindus.htm" TargetMode="External"/><Relationship Id="rId20" Type="http://schemas.openxmlformats.org/officeDocument/2006/relationships/hyperlink" Target="https://www.sec.gov/Archives/edgar/data/1009891/000121390025009093/ea022955101ex10-1_airindus.htm" TargetMode="External"/><Relationship Id="rId21" Type="http://schemas.openxmlformats.org/officeDocument/2006/relationships/hyperlink" Target="https://www.sec.gov/Archives/edgar/data/1009891/000121390025009093/ea022955101ex10-1_airindus.htm" TargetMode="External"/><Relationship Id="rId22" Type="http://schemas.openxmlformats.org/officeDocument/2006/relationships/hyperlink" Target="https://www.sec.gov/Archives/edgar/data/1009891/000121390025009093/ea022955101ex10-1_airindus.htm" TargetMode="External"/><Relationship Id="rId23" Type="http://schemas.openxmlformats.org/officeDocument/2006/relationships/hyperlink" Target="https://www.sec.gov/Archives/edgar/data/1009891/000121390024108879/ea022434901ex1-2_air.htm" TargetMode="External"/><Relationship Id="rId24" Type="http://schemas.openxmlformats.org/officeDocument/2006/relationships/hyperlink" Target="http://www.sec.gov/Archives/edgar/data/1009891/000119380515001372/e613999_ex10-1.htm" TargetMode="External"/><Relationship Id="rId25" Type="http://schemas.openxmlformats.org/officeDocument/2006/relationships/hyperlink" Target="http://www.sec.gov/Archives/edgar/data/1009891/000119380516004256/e615570_ex10-9.htm" TargetMode="External"/><Relationship Id="rId26" Type="http://schemas.openxmlformats.org/officeDocument/2006/relationships/hyperlink" Target="http://www.sec.gov/Archives/edgar/data/1009891/000119380517001329/e616397_ex10-79.htm" TargetMode="External"/><Relationship Id="rId27" Type="http://schemas.openxmlformats.org/officeDocument/2006/relationships/hyperlink" Target="http://www.sec.gov/Archives/edgar/data/1009891/000121390023063747/def14a0723_airindust.htm" TargetMode="External"/><Relationship Id="rId28" Type="http://schemas.openxmlformats.org/officeDocument/2006/relationships/hyperlink" Target="http://www.sec.gov/Archives/edgar/data/1009891/000119380518000599/e617958_ex14-1.htm" TargetMode="External"/><Relationship Id="rId29" Type="http://schemas.openxmlformats.org/officeDocument/2006/relationships/hyperlink" Target="https://www.sec.gov/Archives/edgar/data/1009891/000121390024033018/ea020242801ex19-1_air.htm" TargetMode="External"/><Relationship Id="rId30" Type="http://schemas.openxmlformats.org/officeDocument/2006/relationships/hyperlink" Target="http://www.sec.gov/Archives/edgar/data/1009891/000121390019005550/f10k2018ex21-1_airindus.htm" TargetMode="External"/><Relationship Id="rId31" Type="http://schemas.openxmlformats.org/officeDocument/2006/relationships/hyperlink" Target="http://www.sec.gov/Archives/edgar/data/1009891/000121390024033018/ea020242801ex97-1_air.htm" TargetMode="External"/><Relationship Id="rId32"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54367</Words>
  <Characters>294317</Characters>
  <CharactersWithSpaces>350788</CharactersWithSpaces>
  <Paragraphs>8404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